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t>2018</w:t>
      </w:r>
      <w:r>
        <w:rPr>
          <w:rFonts w:hint="eastAsia" w:ascii="宋体" w:hAnsi="宋体"/>
          <w:b/>
          <w:color w:val="000000" w:themeColor="text1"/>
          <w:sz w:val="36"/>
          <w:szCs w:val="36"/>
          <w14:textFill>
            <w14:solidFill>
              <w14:schemeClr w14:val="tx1"/>
            </w14:solidFill>
          </w14:textFill>
        </w:rPr>
        <w:t>年日语专业人才培养方案</w:t>
      </w:r>
    </w:p>
    <w:p>
      <w:pPr>
        <w:jc w:val="center"/>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t>(</w:t>
      </w:r>
      <w:r>
        <w:rPr>
          <w:rFonts w:hint="eastAsia" w:ascii="宋体" w:hAnsi="宋体"/>
          <w:b/>
          <w:color w:val="000000" w:themeColor="text1"/>
          <w:sz w:val="36"/>
          <w:szCs w:val="36"/>
          <w14:textFill>
            <w14:solidFill>
              <w14:schemeClr w14:val="tx1"/>
            </w14:solidFill>
          </w14:textFill>
        </w:rPr>
        <w:t>商务方向</w:t>
      </w:r>
      <w:r>
        <w:rPr>
          <w:rFonts w:ascii="宋体" w:hAnsi="宋体"/>
          <w:b/>
          <w:color w:val="000000" w:themeColor="text1"/>
          <w:sz w:val="36"/>
          <w:szCs w:val="36"/>
          <w14:textFill>
            <w14:solidFill>
              <w14:schemeClr w14:val="tx1"/>
            </w14:solidFill>
          </w14:textFill>
        </w:rPr>
        <w:t>)</w:t>
      </w:r>
    </w:p>
    <w:p>
      <w:pPr>
        <w:spacing w:line="420" w:lineRule="exact"/>
        <w:jc w:val="center"/>
        <w:rPr>
          <w:rFonts w:ascii="楷体_GB2312" w:hAnsi="宋体"/>
          <w:color w:val="000000" w:themeColor="text1"/>
          <w:sz w:val="28"/>
          <w:szCs w:val="28"/>
          <w14:textFill>
            <w14:solidFill>
              <w14:schemeClr w14:val="tx1"/>
            </w14:solidFill>
          </w14:textFill>
        </w:rPr>
      </w:pPr>
      <w:r>
        <w:rPr>
          <w:rFonts w:hint="eastAsia" w:ascii="楷体_GB2312" w:hAnsi="宋体"/>
          <w:color w:val="000000" w:themeColor="text1"/>
          <w:sz w:val="28"/>
          <w:szCs w:val="28"/>
          <w14:textFill>
            <w14:solidFill>
              <w14:schemeClr w14:val="tx1"/>
            </w14:solidFill>
          </w14:textFill>
        </w:rPr>
        <w:t>专业代码：</w:t>
      </w:r>
      <w:r>
        <w:rPr>
          <w:b/>
          <w:bCs/>
          <w:color w:val="000000" w:themeColor="text1"/>
          <w:sz w:val="30"/>
          <w:szCs w:val="30"/>
          <w14:textFill>
            <w14:solidFill>
              <w14:schemeClr w14:val="tx1"/>
            </w14:solidFill>
          </w14:textFill>
        </w:rPr>
        <w:t>050207</w:t>
      </w:r>
    </w:p>
    <w:p>
      <w:pPr>
        <w:spacing w:line="420" w:lineRule="exact"/>
        <w:rPr>
          <w:rFonts w:ascii="楷体_GB2312" w:hAnsi="宋体"/>
          <w:color w:val="000000" w:themeColor="text1"/>
          <w:sz w:val="28"/>
          <w:szCs w:val="28"/>
          <w14:textFill>
            <w14:solidFill>
              <w14:schemeClr w14:val="tx1"/>
            </w14:solidFill>
          </w14:textFill>
        </w:rPr>
      </w:pPr>
    </w:p>
    <w:p>
      <w:pPr>
        <w:pStyle w:val="3"/>
        <w:spacing w:before="312" w:after="312"/>
        <w:rPr>
          <w:rFonts w:ascii="Times New Roman" w:hAnsi="Times New Roman" w:eastAsia="宋体"/>
          <w:color w:val="000000" w:themeColor="text1"/>
          <w14:textFill>
            <w14:solidFill>
              <w14:schemeClr w14:val="tx1"/>
            </w14:solidFill>
          </w14:textFill>
        </w:rPr>
      </w:pPr>
      <w:bookmarkStart w:id="0" w:name="_Toc455260310"/>
      <w:r>
        <w:rPr>
          <w:rFonts w:hint="eastAsia" w:ascii="Times New Roman" w:eastAsia="宋体"/>
          <w:color w:val="000000" w:themeColor="text1"/>
          <w14:textFill>
            <w14:solidFill>
              <w14:schemeClr w14:val="tx1"/>
            </w14:solidFill>
          </w14:textFill>
        </w:rPr>
        <w:t>一、培养目标</w:t>
      </w:r>
      <w:bookmarkEnd w:id="0"/>
    </w:p>
    <w:p>
      <w:pPr>
        <w:spacing w:line="52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专业旨在培养能够适应现代社会经济发展需要，具有扎实的商务日语语言基础、丰富的国际商务基础理论与知识，具有较强的日语语言应用能力、商务实践能力、跨文化交流能力、创新思维能力、自主学习能力，能够胜任涉外现代服务业，如商务日语翻译、外贸业务、外事管理等岗位工作需要，具有“信、敏、廉、毅”品质以及良好的职业道德素养和创新创业精神之应用型商务日语人才。</w:t>
      </w:r>
    </w:p>
    <w:p>
      <w:pPr>
        <w:pStyle w:val="3"/>
        <w:spacing w:before="312" w:after="312"/>
        <w:rPr>
          <w:rFonts w:ascii="Times New Roman" w:hAns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二、</w:t>
      </w:r>
      <w:bookmarkStart w:id="1" w:name="_Toc455260315"/>
      <w:r>
        <w:rPr>
          <w:rFonts w:hint="eastAsia" w:ascii="Times New Roman" w:eastAsia="宋体"/>
          <w:color w:val="000000" w:themeColor="text1"/>
          <w14:textFill>
            <w14:solidFill>
              <w14:schemeClr w14:val="tx1"/>
            </w14:solidFill>
          </w14:textFill>
        </w:rPr>
        <w:t>毕业学分要求</w:t>
      </w:r>
      <w:bookmarkEnd w:id="1"/>
    </w:p>
    <w:p>
      <w:pPr>
        <w:spacing w:line="520" w:lineRule="exact"/>
        <w:ind w:firstLine="560" w:firstLineChars="200"/>
        <w:rPr>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本专业学生须按培养方案要求修读各类课程，总学分最低修满</w:t>
      </w:r>
      <w:r>
        <w:rPr>
          <w:color w:val="000000" w:themeColor="text1"/>
          <w:sz w:val="28"/>
          <w:szCs w:val="28"/>
          <w14:textFill>
            <w14:solidFill>
              <w14:schemeClr w14:val="tx1"/>
            </w14:solidFill>
          </w14:textFill>
        </w:rPr>
        <w:t>158</w:t>
      </w:r>
      <w:r>
        <w:rPr>
          <w:rFonts w:hint="eastAsia" w:ascii="宋体" w:hAnsi="宋体" w:cs="宋体"/>
          <w:color w:val="000000" w:themeColor="text1"/>
          <w:sz w:val="28"/>
          <w:szCs w:val="28"/>
          <w14:textFill>
            <w14:solidFill>
              <w14:schemeClr w14:val="tx1"/>
            </w14:solidFill>
          </w14:textFill>
        </w:rPr>
        <w:t>学分，其中课堂教学</w:t>
      </w:r>
      <w:r>
        <w:rPr>
          <w:color w:val="000000" w:themeColor="text1"/>
          <w:sz w:val="28"/>
          <w:szCs w:val="28"/>
          <w14:textFill>
            <w14:solidFill>
              <w14:schemeClr w14:val="tx1"/>
            </w14:solidFill>
          </w14:textFill>
        </w:rPr>
        <w:t>135</w:t>
      </w:r>
      <w:r>
        <w:rPr>
          <w:rFonts w:hint="eastAsia" w:ascii="宋体" w:hAnsi="宋体" w:cs="宋体"/>
          <w:color w:val="000000" w:themeColor="text1"/>
          <w:sz w:val="28"/>
          <w:szCs w:val="28"/>
          <w14:textFill>
            <w14:solidFill>
              <w14:schemeClr w14:val="tx1"/>
            </w14:solidFill>
          </w14:textFill>
        </w:rPr>
        <w:t>学分，实践环节</w:t>
      </w:r>
      <w:r>
        <w:rPr>
          <w:color w:val="000000" w:themeColor="text1"/>
          <w:sz w:val="28"/>
          <w:szCs w:val="28"/>
          <w14:textFill>
            <w14:solidFill>
              <w14:schemeClr w14:val="tx1"/>
            </w14:solidFill>
          </w14:textFill>
        </w:rPr>
        <w:t>23</w:t>
      </w:r>
      <w:r>
        <w:rPr>
          <w:rFonts w:hint="eastAsia" w:ascii="宋体" w:hAnsi="宋体" w:cs="宋体"/>
          <w:color w:val="000000" w:themeColor="text1"/>
          <w:sz w:val="28"/>
          <w:szCs w:val="28"/>
          <w14:textFill>
            <w14:solidFill>
              <w14:schemeClr w14:val="tx1"/>
            </w14:solidFill>
          </w14:textFill>
        </w:rPr>
        <w:t>学分，方可毕业。</w:t>
      </w:r>
    </w:p>
    <w:p>
      <w:pPr>
        <w:pStyle w:val="3"/>
        <w:spacing w:before="312" w:after="312"/>
        <w:rPr>
          <w:rFonts w:hint="eastAsia" w:ascii="Times New Roman" w:hAns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三、学制与学位</w:t>
      </w:r>
    </w:p>
    <w:p>
      <w:pPr>
        <w:pStyle w:val="3"/>
        <w:spacing w:before="312" w:after="312"/>
        <w:ind w:firstLine="560" w:firstLineChars="200"/>
        <w:rPr>
          <w:rFonts w:ascii="Times New Roman" w:hAnsi="Times New Roman" w:eastAsia="宋体"/>
          <w:color w:val="000000" w:themeColor="text1"/>
          <w14:textFill>
            <w14:solidFill>
              <w14:schemeClr w14:val="tx1"/>
            </w14:solidFill>
          </w14:textFill>
        </w:rPr>
      </w:pPr>
      <w:r>
        <w:rPr>
          <w:rFonts w:hint="eastAsia" w:ascii="??_GB2312" w:hAnsi="宋体" w:eastAsia="宋体"/>
          <w:b w:val="0"/>
          <w:bCs w:val="0"/>
          <w:color w:val="000000" w:themeColor="text1"/>
          <w:sz w:val="28"/>
          <w:szCs w:val="28"/>
          <w14:textFill>
            <w14:solidFill>
              <w14:schemeClr w14:val="tx1"/>
            </w14:solidFill>
          </w14:textFill>
        </w:rPr>
        <w:t>日语专业标准学制</w:t>
      </w:r>
      <w:r>
        <w:rPr>
          <w:rFonts w:ascii="??_GB2312" w:hAnsi="宋体" w:eastAsia="宋体"/>
          <w:b w:val="0"/>
          <w:bCs w:val="0"/>
          <w:color w:val="000000" w:themeColor="text1"/>
          <w:sz w:val="28"/>
          <w:szCs w:val="28"/>
          <w14:textFill>
            <w14:solidFill>
              <w14:schemeClr w14:val="tx1"/>
            </w14:solidFill>
          </w14:textFill>
        </w:rPr>
        <w:t>4</w:t>
      </w:r>
      <w:r>
        <w:rPr>
          <w:rFonts w:hint="eastAsia" w:ascii="??_GB2312" w:hAnsi="宋体" w:eastAsia="宋体"/>
          <w:b w:val="0"/>
          <w:bCs w:val="0"/>
          <w:color w:val="000000" w:themeColor="text1"/>
          <w:sz w:val="28"/>
          <w:szCs w:val="28"/>
          <w14:textFill>
            <w14:solidFill>
              <w14:schemeClr w14:val="tx1"/>
            </w14:solidFill>
          </w14:textFill>
        </w:rPr>
        <w:t>年，实行弹性学习年限，</w:t>
      </w:r>
      <w:r>
        <w:rPr>
          <w:rFonts w:ascii="??_GB2312" w:hAnsi="宋体" w:eastAsia="宋体"/>
          <w:b w:val="0"/>
          <w:bCs w:val="0"/>
          <w:color w:val="000000" w:themeColor="text1"/>
          <w:sz w:val="28"/>
          <w:szCs w:val="28"/>
          <w14:textFill>
            <w14:solidFill>
              <w14:schemeClr w14:val="tx1"/>
            </w14:solidFill>
          </w14:textFill>
        </w:rPr>
        <w:t>3-6</w:t>
      </w:r>
      <w:r>
        <w:rPr>
          <w:rFonts w:hint="eastAsia" w:ascii="??_GB2312" w:hAnsi="宋体" w:eastAsia="宋体"/>
          <w:b w:val="0"/>
          <w:bCs w:val="0"/>
          <w:color w:val="000000" w:themeColor="text1"/>
          <w:sz w:val="28"/>
          <w:szCs w:val="28"/>
          <w14:textFill>
            <w14:solidFill>
              <w14:schemeClr w14:val="tx1"/>
            </w14:solidFill>
          </w14:textFill>
        </w:rPr>
        <w:t>年修满学分可以毕业，学生修满规定学分，达到毕业要求后，发给毕业证书，其中符合国家和学校学士学位授予条件的毕业生，授予文学学士。</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before="312" w:after="312"/>
        <w:rPr>
          <w:rFonts w:ascii="Times New Roman"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四、毕业生要求及分解指标表</w:t>
      </w:r>
    </w:p>
    <w:p>
      <w:pPr>
        <w:spacing w:line="460" w:lineRule="exact"/>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．知识要求</w:t>
      </w:r>
    </w:p>
    <w:p>
      <w:pPr>
        <w:pStyle w:val="10"/>
        <w:widowControl/>
        <w:spacing w:beforeAutospacing="0" w:after="90" w:afterAutospacing="0"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1-1.人文社会科学知识：较熟练地掌握一门外语（指除日语外的第二外语），具有一定的听、说、读、写能力，具有一定的文学修养和批判创新思维，</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具有正确的世界观、人生观和价值观，良好的道德品质和社会责任感，中国情怀和国际视野，人文与科学素养以及合作、敬业精神</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1-2.计算机操作知识：</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熟练掌握计算机网络及办公自动化软件操作</w:t>
      </w:r>
      <w:r>
        <w:rPr>
          <w:rFonts w:asciiTheme="minorEastAsia" w:hAnsiTheme="minorEastAsia" w:eastAsiaTheme="minorEastAsia" w:cstheme="minorEastAsia"/>
          <w:color w:val="000000" w:themeColor="text1"/>
          <w:sz w:val="28"/>
          <w:szCs w:val="28"/>
          <w:shd w:val="clear" w:color="auto" w:fill="FFFFFF"/>
          <w14:textFill>
            <w14:solidFill>
              <w14:schemeClr w14:val="tx1"/>
            </w14:solidFill>
          </w14:textFill>
        </w:rPr>
        <w:t>,</w:t>
      </w:r>
      <w:r>
        <w:rPr>
          <w:rFonts w:hint="eastAsia" w:cs="Arial"/>
          <w:color w:val="000000" w:themeColor="text1"/>
          <w:sz w:val="28"/>
          <w:szCs w:val="28"/>
          <w14:textFill>
            <w14:solidFill>
              <w14:schemeClr w14:val="tx1"/>
            </w14:solidFill>
          </w14:textFill>
        </w:rPr>
        <w:t>为将来从事</w:t>
      </w:r>
      <w:r>
        <w:rPr>
          <w:rFonts w:cs="Arial"/>
          <w:color w:val="000000" w:themeColor="text1"/>
          <w:sz w:val="28"/>
          <w:szCs w:val="28"/>
          <w14:textFill>
            <w14:solidFill>
              <w14:schemeClr w14:val="tx1"/>
            </w14:solidFill>
          </w14:textFill>
        </w:rPr>
        <w:t>商务日语翻译、外贸业务、外事管理</w:t>
      </w:r>
      <w:r>
        <w:rPr>
          <w:rFonts w:hint="eastAsia" w:cs="Arial"/>
          <w:color w:val="000000" w:themeColor="text1"/>
          <w:sz w:val="28"/>
          <w:szCs w:val="28"/>
          <w14:textFill>
            <w14:solidFill>
              <w14:schemeClr w14:val="tx1"/>
            </w14:solidFill>
          </w14:textFill>
        </w:rPr>
        <w:t>等工作奠定基础</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1-3.日语基础知识：</w:t>
      </w:r>
      <w:r>
        <w:rPr>
          <w:rFonts w:cs="Arial"/>
          <w:color w:val="000000" w:themeColor="text1"/>
          <w:sz w:val="28"/>
          <w:szCs w:val="28"/>
          <w14:textFill>
            <w14:solidFill>
              <w14:schemeClr w14:val="tx1"/>
            </w14:solidFill>
          </w14:textFill>
        </w:rPr>
        <w:t>具有系统扎实的日语语音、语法、词汇等语言</w:t>
      </w:r>
      <w:r>
        <w:rPr>
          <w:rFonts w:hint="eastAsia" w:cs="Arial"/>
          <w:color w:val="000000" w:themeColor="text1"/>
          <w:sz w:val="28"/>
          <w:szCs w:val="28"/>
          <w14:textFill>
            <w14:solidFill>
              <w14:schemeClr w14:val="tx1"/>
            </w14:solidFill>
          </w14:textFill>
        </w:rPr>
        <w:t>知识</w:t>
      </w:r>
      <w:r>
        <w:rPr>
          <w:rFonts w:cs="Arial"/>
          <w:color w:val="000000" w:themeColor="text1"/>
          <w:sz w:val="28"/>
          <w:szCs w:val="28"/>
          <w14:textFill>
            <w14:solidFill>
              <w14:schemeClr w14:val="tx1"/>
            </w14:solidFill>
          </w14:textFill>
        </w:rPr>
        <w:t>基础，</w:t>
      </w:r>
      <w:r>
        <w:rPr>
          <w:rFonts w:hint="eastAsia" w:cs="Arial"/>
          <w:color w:val="000000" w:themeColor="text1"/>
          <w:sz w:val="28"/>
          <w:szCs w:val="28"/>
          <w14:textFill>
            <w14:solidFill>
              <w14:schemeClr w14:val="tx1"/>
            </w14:solidFill>
          </w14:textFill>
        </w:rPr>
        <w:t>及</w:t>
      </w:r>
      <w:r>
        <w:rPr>
          <w:rFonts w:cs="Arial"/>
          <w:color w:val="000000" w:themeColor="text1"/>
          <w:sz w:val="28"/>
          <w:szCs w:val="28"/>
          <w14:textFill>
            <w14:solidFill>
              <w14:schemeClr w14:val="tx1"/>
            </w14:solidFill>
          </w14:textFill>
        </w:rPr>
        <w:t>较强的日语听、说、读、写、译等基本专业技能；比较了解日本社会、文化、文学等基本概况，能熟练地运用日语进行口头与书面</w:t>
      </w:r>
      <w:r>
        <w:rPr>
          <w:rFonts w:hint="eastAsia" w:cs="Arial"/>
          <w:color w:val="000000" w:themeColor="text1"/>
          <w:sz w:val="28"/>
          <w:szCs w:val="28"/>
          <w14:textFill>
            <w14:solidFill>
              <w14:schemeClr w14:val="tx1"/>
            </w14:solidFill>
          </w14:textFill>
        </w:rPr>
        <w:t>形式的跨文化</w:t>
      </w:r>
      <w:r>
        <w:rPr>
          <w:rFonts w:cs="Arial"/>
          <w:color w:val="000000" w:themeColor="text1"/>
          <w:sz w:val="28"/>
          <w:szCs w:val="28"/>
          <w14:textFill>
            <w14:solidFill>
              <w14:schemeClr w14:val="tx1"/>
            </w14:solidFill>
          </w14:textFill>
        </w:rPr>
        <w:t>交流</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spacing w:line="520" w:lineRule="exact"/>
        <w:ind w:firstLine="560" w:firstLineChars="200"/>
        <w:rPr>
          <w:rFonts w:ascii="仿宋" w:eastAsia="仿宋" w:cs="仿宋"/>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1-4.商务专业知识：熟悉国际商务贸易的通行规则与惯例，</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熟悉商务外贸知识，具有较强的日语商务贸易、商务谈判和企业管理的综合能力，</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胜任</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在外事、对日文化交流、教育、经贸、科技、军事等领域从事翻译、商贸、管理等工作。</w:t>
      </w:r>
      <w:r>
        <w:rPr>
          <w:rFonts w:ascii="Verdana" w:hAnsi="Verdana" w:cs="Verdana"/>
          <w:color w:val="000000" w:themeColor="text1"/>
          <w:szCs w:val="21"/>
          <w:shd w:val="clear" w:color="auto" w:fill="FFFFFF"/>
          <w14:textFill>
            <w14:solidFill>
              <w14:schemeClr w14:val="tx1"/>
            </w14:solidFill>
          </w14:textFill>
        </w:rPr>
        <w:t> </w:t>
      </w:r>
    </w:p>
    <w:p>
      <w:pPr>
        <w:spacing w:line="460" w:lineRule="exact"/>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2. </w:t>
      </w:r>
      <w:r>
        <w:rPr>
          <w:rFonts w:hint="eastAsia" w:ascii="宋体" w:hAnsi="宋体" w:cs="宋体"/>
          <w:b/>
          <w:color w:val="000000" w:themeColor="text1"/>
          <w:sz w:val="28"/>
          <w:szCs w:val="28"/>
          <w14:textFill>
            <w14:solidFill>
              <w14:schemeClr w14:val="tx1"/>
            </w14:solidFill>
          </w14:textFill>
        </w:rPr>
        <w:t>能力要求</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2-1.自主学习能力：能够根据学习、生活和研究的需要，自觉利用各种工具、手段获取相关知识，进行自主学习，具备较强的终身学习能力。</w:t>
      </w:r>
      <w:r>
        <w:rPr>
          <w:rFonts w:asciiTheme="minorEastAsia" w:hAnsiTheme="minorEastAsia" w:eastAsiaTheme="minorEastAsia" w:cstheme="minorEastAsia"/>
          <w:color w:val="000000" w:themeColor="text1"/>
          <w:sz w:val="28"/>
          <w:szCs w:val="28"/>
          <w14:textFill>
            <w14:solidFill>
              <w14:schemeClr w14:val="tx1"/>
            </w14:solidFill>
          </w14:textFill>
        </w:rPr>
        <w:t xml:space="preserve"> </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-2.实践应用能力：掌握文献检索、资料查询的基本方法，开展初步的科学研究，具有较强的实践动手能力和一定的就业能力与创业能力；熟悉与本专业有关的国家法律、法规，了解国际惯例并能够灵活应用于实践。</w:t>
      </w:r>
    </w:p>
    <w:p>
      <w:pPr>
        <w:pStyle w:val="10"/>
        <w:widowControl/>
        <w:spacing w:beforeAutospacing="0" w:after="90" w:afterAutospacing="0"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2-3.跨文化交流能力：熟练掌握日语，能灵活运用日语与外界交流，特别是听、说能力，具有国际视野、具备从事跨文化交际和国际商务交际的基本能力，在今后工作和社会交往中能运用日语进行较好的</w:t>
      </w:r>
      <w:r>
        <w:rPr>
          <w:rFonts w:hint="eastAsia" w:cs="Arial"/>
          <w:color w:val="000000" w:themeColor="text1"/>
          <w:sz w:val="28"/>
          <w:szCs w:val="28"/>
          <w:u w:val="none"/>
          <w14:textFill>
            <w14:solidFill>
              <w14:schemeClr w14:val="tx1"/>
            </w14:solidFill>
          </w14:textFill>
        </w:rPr>
        <w:t>跨文化交流</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2-4.团队协作能力：</w:t>
      </w:r>
      <w:r>
        <w:rPr>
          <w:rFonts w:cs="Arial"/>
          <w:sz w:val="28"/>
          <w:szCs w:val="28"/>
        </w:rPr>
        <w:t>具有较强的人际沟通能力、团结协作能力和社会活动</w:t>
      </w:r>
      <w:r>
        <w:rPr>
          <w:rFonts w:hint="eastAsia" w:cs="Arial"/>
          <w:color w:val="000000" w:themeColor="text1"/>
          <w:sz w:val="28"/>
          <w:szCs w:val="28"/>
          <w14:textFill>
            <w14:solidFill>
              <w14:schemeClr w14:val="tx1"/>
            </w14:solidFill>
          </w14:textFill>
        </w:rPr>
        <w:t>组织参与能</w:t>
      </w:r>
      <w:r>
        <w:rPr>
          <w:rFonts w:cs="Arial"/>
          <w:color w:val="000000" w:themeColor="text1"/>
          <w:sz w:val="28"/>
          <w:szCs w:val="28"/>
          <w14:textFill>
            <w14:solidFill>
              <w14:schemeClr w14:val="tx1"/>
            </w14:solidFill>
          </w14:textFill>
        </w:rPr>
        <w:t>力</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-5.创新思维能力：了解国际商务发展动态和行业需求，掌握创新思维和科学研究的方法，具有运用专业知识和技能发现、分析和解决问题的能力；了解本专业和本学科的理论前沿及发展动态，具备基本的科学研究能力和一定的创新能力。</w:t>
      </w:r>
    </w:p>
    <w:p>
      <w:pPr>
        <w:spacing w:line="460" w:lineRule="exact"/>
        <w:ind w:firstLine="560" w:firstLineChars="200"/>
        <w:rPr>
          <w:rFonts w:ascii="宋体" w:cs="宋体"/>
          <w:color w:val="000000" w:themeColor="text1"/>
          <w:sz w:val="28"/>
          <w:szCs w:val="28"/>
          <w14:textFill>
            <w14:solidFill>
              <w14:schemeClr w14:val="tx1"/>
            </w14:solidFill>
          </w14:textFill>
        </w:rPr>
      </w:pPr>
    </w:p>
    <w:p>
      <w:pPr>
        <w:spacing w:line="460" w:lineRule="exact"/>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3. </w:t>
      </w:r>
      <w:r>
        <w:rPr>
          <w:rFonts w:hint="eastAsia" w:ascii="宋体" w:hAnsi="宋体" w:cs="宋体"/>
          <w:b/>
          <w:color w:val="000000" w:themeColor="text1"/>
          <w:sz w:val="28"/>
          <w:szCs w:val="28"/>
          <w14:textFill>
            <w14:solidFill>
              <w14:schemeClr w14:val="tx1"/>
            </w14:solidFill>
          </w14:textFill>
        </w:rPr>
        <w:t>素质要求</w:t>
      </w:r>
    </w:p>
    <w:p>
      <w:pPr>
        <w:spacing w:line="520" w:lineRule="exact"/>
        <w:ind w:firstLine="56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有坚定的政治方向，热爱祖国，拥护中国共产党的领导，掌握马列主义、毛泽东思想、邓小平理论、“三个代表”重要思想的基本原理和习近平新时代中国特色社会主义思想；树立科学的世界观、人生观，具有良好的身体素质和心理素质。</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3-2.具有健康的体魄、良好的心理素质、和谐的人际关系、强烈的创新意识和团队合作精神；</w:t>
      </w:r>
    </w:p>
    <w:p>
      <w:pPr>
        <w:spacing w:line="520" w:lineRule="exact"/>
        <w:ind w:firstLine="560" w:firstLineChars="200"/>
        <w:rPr>
          <w:rFonts w:hint="eastAsia" w:ascii="Times New Roman" w:eastAsia="宋体"/>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3-3.</w:t>
      </w:r>
      <w:r>
        <w:rPr>
          <w:rFonts w:cs="Arial"/>
          <w:color w:val="000000" w:themeColor="text1"/>
          <w:sz w:val="28"/>
          <w:szCs w:val="28"/>
          <w14:textFill>
            <w14:solidFill>
              <w14:schemeClr w14:val="tx1"/>
            </w14:solidFill>
          </w14:textFill>
        </w:rPr>
        <w:t>具有良好的思想道德</w:t>
      </w:r>
      <w:r>
        <w:rPr>
          <w:rFonts w:hint="eastAsia" w:cs="Arial"/>
          <w:color w:val="000000" w:themeColor="text1"/>
          <w:sz w:val="28"/>
          <w:szCs w:val="28"/>
          <w14:textFill>
            <w14:solidFill>
              <w14:schemeClr w14:val="tx1"/>
            </w14:solidFill>
          </w14:textFill>
        </w:rPr>
        <w:t>修养</w:t>
      </w:r>
      <w:r>
        <w:rPr>
          <w:rFonts w:cs="Arial"/>
          <w:color w:val="000000" w:themeColor="text1"/>
          <w:sz w:val="28"/>
          <w:szCs w:val="28"/>
          <w14:textFill>
            <w14:solidFill>
              <w14:schemeClr w14:val="tx1"/>
            </w14:solidFill>
          </w14:textFill>
        </w:rPr>
        <w:t>、强烈的事业心和社会责任感；具有</w:t>
      </w:r>
      <w:r>
        <w:rPr>
          <w:rFonts w:hint="eastAsia" w:cs="Arial"/>
          <w:color w:val="000000" w:themeColor="text1"/>
          <w:sz w:val="28"/>
          <w:szCs w:val="28"/>
          <w14:textFill>
            <w14:solidFill>
              <w14:schemeClr w14:val="tx1"/>
            </w14:solidFill>
          </w14:textFill>
        </w:rPr>
        <w:t>良好</w:t>
      </w:r>
      <w:r>
        <w:rPr>
          <w:rFonts w:cs="Arial"/>
          <w:color w:val="000000" w:themeColor="text1"/>
          <w:sz w:val="28"/>
          <w:szCs w:val="28"/>
          <w14:textFill>
            <w14:solidFill>
              <w14:schemeClr w14:val="tx1"/>
            </w14:solidFill>
          </w14:textFill>
        </w:rPr>
        <w:t>的人文社会科学素养、审美</w:t>
      </w:r>
      <w:r>
        <w:rPr>
          <w:rFonts w:hint="eastAsia" w:cs="Arial"/>
          <w:color w:val="000000" w:themeColor="text1"/>
          <w:sz w:val="28"/>
          <w:szCs w:val="28"/>
          <w14:textFill>
            <w14:solidFill>
              <w14:schemeClr w14:val="tx1"/>
            </w14:solidFill>
          </w14:textFill>
        </w:rPr>
        <w:t>修养</w:t>
      </w:r>
      <w:r>
        <w:rPr>
          <w:rFonts w:cs="Arial"/>
          <w:color w:val="000000" w:themeColor="text1"/>
          <w:sz w:val="28"/>
          <w:szCs w:val="28"/>
          <w14:textFill>
            <w14:solidFill>
              <w14:schemeClr w14:val="tx1"/>
            </w14:solidFill>
          </w14:textFill>
        </w:rPr>
        <w:t>和艺术修养</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pStyle w:val="3"/>
        <w:spacing w:before="312" w:after="312"/>
        <w:rPr>
          <w:rFonts w:ascii="Times New Roman" w:hAns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五、培养特色</w:t>
      </w:r>
    </w:p>
    <w:p>
      <w:pPr>
        <w:spacing w:line="52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 w:name="_Toc455260312"/>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本</w:t>
      </w:r>
      <w:r>
        <w:rPr>
          <w:rFonts w:hint="eastAsia" w:asciiTheme="minorEastAsia" w:hAnsiTheme="minorEastAsia" w:eastAsiaTheme="minorEastAsia" w:cstheme="minorEastAsia"/>
          <w:color w:val="000000" w:themeColor="text1"/>
          <w:sz w:val="28"/>
          <w:szCs w:val="28"/>
          <w14:textFill>
            <w14:solidFill>
              <w14:schemeClr w14:val="tx1"/>
            </w14:solidFill>
          </w14:textFill>
        </w:rPr>
        <w:t>专业立足我校财经院校的优势和特点，推行“日语+</w:t>
      </w:r>
      <w:r>
        <w:rPr>
          <w:rFonts w:hint="eastAsia" w:asciiTheme="minorEastAsia" w:hAnsiTheme="minorEastAsia" w:eastAsiaTheme="minorEastAsia" w:cstheme="minorEastAsia"/>
          <w:color w:val="000000" w:themeColor="text1"/>
          <w:sz w:val="28"/>
          <w:szCs w:val="28"/>
          <w:lang w:eastAsia="ja-JP"/>
          <w14:textFill>
            <w14:solidFill>
              <w14:schemeClr w14:val="tx1"/>
            </w14:solidFill>
          </w14:textFill>
        </w:rPr>
        <w:t>α</w:t>
      </w:r>
      <w:r>
        <w:rPr>
          <w:rFonts w:hint="eastAsia" w:asciiTheme="minorEastAsia" w:hAnsiTheme="minorEastAsia" w:eastAsiaTheme="minorEastAsia" w:cstheme="minorEastAsia"/>
          <w:color w:val="000000" w:themeColor="text1"/>
          <w:sz w:val="28"/>
          <w:szCs w:val="28"/>
          <w14:textFill>
            <w14:solidFill>
              <w14:schemeClr w14:val="tx1"/>
            </w14:solidFill>
          </w14:textFill>
        </w:rPr>
        <w:t>”培养模式，以“日语为基础，商务为核心，</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注重实践</w:t>
      </w:r>
      <w:r>
        <w:rPr>
          <w:rFonts w:hint="eastAsia" w:asciiTheme="minorEastAsia" w:hAnsiTheme="minorEastAsia" w:eastAsiaTheme="minorEastAsia" w:cstheme="minorEastAsia"/>
          <w:color w:val="000000" w:themeColor="text1"/>
          <w:sz w:val="28"/>
          <w:szCs w:val="28"/>
          <w14:textFill>
            <w14:solidFill>
              <w14:schemeClr w14:val="tx1"/>
            </w14:solidFill>
          </w14:textFill>
        </w:rPr>
        <w:t>，学用结合”的人才培养思路，旨在培养出熟练掌握日语语言文化与国际商务知识，兼具较强的运用日语进行商务服务，贸易和企业管理的综合职业能力的商务日语人才。</w:t>
      </w:r>
      <w:r>
        <w:rPr>
          <w:rFonts w:cs="Arial"/>
          <w:sz w:val="28"/>
          <w:szCs w:val="28"/>
        </w:rPr>
        <w:t>以人才</w:t>
      </w:r>
      <w:r>
        <w:rPr>
          <w:rFonts w:cs="Arial"/>
          <w:color w:val="000000" w:themeColor="text1"/>
          <w:sz w:val="28"/>
          <w:szCs w:val="28"/>
          <w14:textFill>
            <w14:solidFill>
              <w14:schemeClr w14:val="tx1"/>
            </w14:solidFill>
          </w14:textFill>
        </w:rPr>
        <w:t>培养</w:t>
      </w:r>
      <w:r>
        <w:rPr>
          <w:rFonts w:hint="eastAsia" w:cs="Arial"/>
          <w:color w:val="000000" w:themeColor="text1"/>
          <w:sz w:val="28"/>
          <w:szCs w:val="28"/>
          <w14:textFill>
            <w14:solidFill>
              <w14:schemeClr w14:val="tx1"/>
            </w14:solidFill>
          </w14:textFill>
        </w:rPr>
        <w:t>目标</w:t>
      </w:r>
      <w:r>
        <w:rPr>
          <w:rFonts w:cs="Arial"/>
          <w:color w:val="000000" w:themeColor="text1"/>
          <w:sz w:val="28"/>
          <w:szCs w:val="28"/>
          <w14:textFill>
            <w14:solidFill>
              <w14:schemeClr w14:val="tx1"/>
            </w14:solidFill>
          </w14:textFill>
        </w:rPr>
        <w:t>为依据，以就业</w:t>
      </w:r>
      <w:r>
        <w:rPr>
          <w:rFonts w:hint="eastAsia" w:cs="Arial"/>
          <w:color w:val="000000" w:themeColor="text1"/>
          <w:sz w:val="28"/>
          <w:szCs w:val="28"/>
          <w14:textFill>
            <w14:solidFill>
              <w14:schemeClr w14:val="tx1"/>
            </w14:solidFill>
          </w14:textFill>
        </w:rPr>
        <w:t>为</w:t>
      </w:r>
      <w:r>
        <w:rPr>
          <w:rFonts w:cs="Arial"/>
          <w:color w:val="000000" w:themeColor="text1"/>
          <w:sz w:val="28"/>
          <w:szCs w:val="28"/>
          <w14:textFill>
            <w14:solidFill>
              <w14:schemeClr w14:val="tx1"/>
            </w14:solidFill>
          </w14:textFill>
        </w:rPr>
        <w:t>导向进行专业课程设置</w:t>
      </w:r>
      <w:r>
        <w:rPr>
          <w:rFonts w:hint="eastAsia" w:asciiTheme="minorEastAsia" w:hAnsiTheme="minorEastAsia" w:eastAsiaTheme="minorEastAsia" w:cstheme="minorEastAsia"/>
          <w:color w:val="000000" w:themeColor="text1"/>
          <w:sz w:val="28"/>
          <w:szCs w:val="28"/>
          <w14:textFill>
            <w14:solidFill>
              <w14:schemeClr w14:val="tx1"/>
            </w14:solidFill>
          </w14:textFill>
        </w:rPr>
        <w:t>。在课程设置上不仅开设了商务基础日语、商务日语口语、商务日语听力、日语经贸阅读、</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日汉互译</w:t>
      </w:r>
      <w:r>
        <w:rPr>
          <w:rFonts w:hint="eastAsia" w:asciiTheme="minorEastAsia" w:hAnsiTheme="minorEastAsia" w:eastAsiaTheme="minorEastAsia" w:cstheme="minorEastAsia"/>
          <w:color w:val="000000" w:themeColor="text1"/>
          <w:sz w:val="28"/>
          <w:szCs w:val="28"/>
          <w14:textFill>
            <w14:solidFill>
              <w14:schemeClr w14:val="tx1"/>
            </w14:solidFill>
          </w14:textFill>
        </w:rPr>
        <w:t>等课程培养学生日语的综合运用能力，同时还设置了商务日语</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写作</w:t>
      </w:r>
      <w:r>
        <w:rPr>
          <w:rFonts w:hint="eastAsia" w:asciiTheme="minorEastAsia" w:hAnsiTheme="minorEastAsia" w:eastAsiaTheme="minorEastAsia" w:cstheme="minorEastAsia"/>
          <w:color w:val="000000" w:themeColor="text1"/>
          <w:sz w:val="28"/>
          <w:szCs w:val="28"/>
          <w14:textFill>
            <w14:solidFill>
              <w14:schemeClr w14:val="tx1"/>
            </w14:solidFill>
          </w14:textFill>
        </w:rPr>
        <w:t>、商务礼仪、</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日语</w:t>
      </w:r>
      <w:r>
        <w:rPr>
          <w:rFonts w:hint="eastAsia" w:asciiTheme="minorEastAsia" w:hAnsiTheme="minorEastAsia" w:eastAsiaTheme="minorEastAsia" w:cstheme="minorEastAsia"/>
          <w:color w:val="000000" w:themeColor="text1"/>
          <w:sz w:val="28"/>
          <w:szCs w:val="28"/>
          <w14:textFill>
            <w14:solidFill>
              <w14:schemeClr w14:val="tx1"/>
            </w14:solidFill>
          </w14:textFill>
        </w:rPr>
        <w:t>簿记、商务</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8"/>
          <w:szCs w:val="28"/>
          <w14:textFill>
            <w14:solidFill>
              <w14:schemeClr w14:val="tx1"/>
            </w14:solidFill>
          </w14:textFill>
        </w:rPr>
        <w:t>、日语经贸口译等课程培养学生的商务能力。和纯语言的课程设置相比较，学生能</w:t>
      </w:r>
      <w:r>
        <w:rPr>
          <w:rFonts w:hint="eastAsia" w:asciiTheme="minorEastAsia" w:hAnsiTheme="minorEastAsia" w:cstheme="minorEastAsia"/>
          <w:color w:val="000000" w:themeColor="text1"/>
          <w:sz w:val="28"/>
          <w:szCs w:val="28"/>
          <w:lang w:val="en-US" w:eastAsia="zh-CN"/>
          <w14:textFill>
            <w14:solidFill>
              <w14:schemeClr w14:val="tx1"/>
            </w14:solidFill>
          </w14:textFill>
        </w:rPr>
        <w:t>学</w:t>
      </w:r>
      <w:r>
        <w:rPr>
          <w:rFonts w:hint="eastAsia" w:asciiTheme="minorEastAsia" w:hAnsiTheme="minorEastAsia" w:eastAsiaTheme="minorEastAsia" w:cstheme="minorEastAsia"/>
          <w:color w:val="000000" w:themeColor="text1"/>
          <w:sz w:val="28"/>
          <w:szCs w:val="28"/>
          <w14:textFill>
            <w14:solidFill>
              <w14:schemeClr w14:val="tx1"/>
            </w14:solidFill>
          </w14:textFill>
        </w:rPr>
        <w:t>到更多的商务知识，专业基础扎实，实践能力强。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同时，兼顾个性化教学设计，学生</w:t>
      </w:r>
      <w:r>
        <w:rPr>
          <w:rFonts w:hint="eastAsia" w:asciiTheme="minorEastAsia" w:hAnsiTheme="minorEastAsia" w:eastAsiaTheme="minorEastAsia" w:cstheme="minorEastAsia"/>
          <w:color w:val="000000" w:themeColor="text1"/>
          <w:sz w:val="28"/>
          <w:szCs w:val="28"/>
          <w14:textFill>
            <w14:solidFill>
              <w14:schemeClr w14:val="tx1"/>
            </w14:solidFill>
          </w14:textFill>
        </w:rPr>
        <w:t>毕业后能够运用日语从事对外商务活动，就业更加有竞争力。</w:t>
      </w:r>
    </w:p>
    <w:p>
      <w:pPr>
        <w:spacing w:line="52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cs="Arial"/>
          <w:color w:val="000000" w:themeColor="text1"/>
          <w:sz w:val="28"/>
          <w:szCs w:val="28"/>
          <w14:textFill>
            <w14:solidFill>
              <w14:schemeClr w14:val="tx1"/>
            </w14:solidFill>
          </w14:textFill>
        </w:rPr>
        <w:t>本专业注重从专业出发满足学生</w:t>
      </w:r>
      <w:r>
        <w:rPr>
          <w:rFonts w:cs="Arial"/>
          <w:color w:val="000000" w:themeColor="text1"/>
          <w:sz w:val="28"/>
          <w:szCs w:val="28"/>
          <w14:textFill>
            <w14:solidFill>
              <w14:schemeClr w14:val="tx1"/>
            </w14:solidFill>
          </w14:textFill>
        </w:rPr>
        <w:t>个性化</w:t>
      </w:r>
      <w:r>
        <w:rPr>
          <w:rFonts w:hint="eastAsia" w:cs="Arial"/>
          <w:color w:val="000000" w:themeColor="text1"/>
          <w:sz w:val="28"/>
          <w:szCs w:val="28"/>
          <w14:textFill>
            <w14:solidFill>
              <w14:schemeClr w14:val="tx1"/>
            </w14:solidFill>
          </w14:textFill>
        </w:rPr>
        <w:t>学习需要，个性化培养课程</w:t>
      </w:r>
      <w:r>
        <w:rPr>
          <w:rFonts w:cs="Arial"/>
          <w:color w:val="000000" w:themeColor="text1"/>
          <w:sz w:val="28"/>
          <w:szCs w:val="28"/>
          <w14:textFill>
            <w14:solidFill>
              <w14:schemeClr w14:val="tx1"/>
            </w14:solidFill>
          </w14:textFill>
        </w:rPr>
        <w:t>主要包括</w:t>
      </w:r>
      <w:r>
        <w:rPr>
          <w:rFonts w:hint="eastAsia" w:asciiTheme="minorEastAsia" w:hAnsiTheme="minorEastAsia" w:eastAsiaTheme="minorEastAsia" w:cstheme="minorEastAsia"/>
          <w:color w:val="000000" w:themeColor="text1"/>
          <w:sz w:val="28"/>
          <w:szCs w:val="28"/>
          <w14:textFill>
            <w14:solidFill>
              <w14:schemeClr w14:val="tx1"/>
            </w14:solidFill>
          </w14:textFill>
        </w:rPr>
        <w:t>：日语簿记、商务日语口语III、商务日语口语IV、商务</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8"/>
          <w:szCs w:val="28"/>
          <w14:textFill>
            <w14:solidFill>
              <w14:schemeClr w14:val="tx1"/>
            </w14:solidFill>
          </w14:textFill>
        </w:rPr>
        <w:t>、日本商务礼仪、日语经贸口译等课程</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个性化培养课程最低需修满</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个学分。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560"/>
        <w:jc w:val="both"/>
        <w:textAlignment w:val="auto"/>
        <w:outlineLvl w:val="9"/>
        <w:rPr>
          <w:rFonts w:hint="eastAsia" w:asciiTheme="minorEastAsia" w:hAnsiTheme="minorEastAsia" w:eastAsiaTheme="minorEastAsia" w:cstheme="minorEastAsia"/>
          <w:b w:val="0"/>
          <w:i w:val="0"/>
          <w:caps w:val="0"/>
          <w:color w:val="000000" w:themeColor="text1"/>
          <w:spacing w:val="0"/>
          <w:sz w:val="28"/>
          <w:szCs w:val="28"/>
          <w:shd w:val="clear"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另外，</w:t>
      </w:r>
      <w:r>
        <w:rPr>
          <w:rFonts w:cs="Arial"/>
          <w:color w:val="FF0000"/>
          <w:sz w:val="28"/>
          <w:szCs w:val="28"/>
        </w:rPr>
        <w:t> </w:t>
      </w:r>
      <w:r>
        <w:rPr>
          <w:rFonts w:hint="eastAsia" w:cs="Arial"/>
          <w:color w:val="000000" w:themeColor="text1"/>
          <w:sz w:val="28"/>
          <w:szCs w:val="28"/>
          <w14:textFill>
            <w14:solidFill>
              <w14:schemeClr w14:val="tx1"/>
            </w14:solidFill>
          </w14:textFill>
        </w:rPr>
        <w:t>本专业</w:t>
      </w:r>
      <w:r>
        <w:rPr>
          <w:rFonts w:cs="Arial"/>
          <w:color w:val="000000" w:themeColor="text1"/>
          <w:sz w:val="28"/>
          <w:szCs w:val="28"/>
          <w14:textFill>
            <w14:solidFill>
              <w14:schemeClr w14:val="tx1"/>
            </w14:solidFill>
          </w14:textFill>
        </w:rPr>
        <w:t>也推行“国际化合作办学模式”</w:t>
      </w:r>
      <w:r>
        <w:rPr>
          <w:rFonts w:hint="eastAsia" w:cs="Arial"/>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日语专业自2003年建立以来，一直非常重视日语专业的学生与日本大学的交流及合作，目前与日本冈山商科大学、立命馆大学、岐阜经济大学、武藏野大学等大学签订了合作办学协议。通过“国际化合作办学模式”来</w:t>
      </w:r>
      <w:r>
        <w:rPr>
          <w:rFonts w:hint="eastAsia" w:asciiTheme="minorEastAsia" w:hAnsiTheme="minorEastAsia" w:eastAsiaTheme="minorEastAsia" w:cstheme="minorEastAsia"/>
          <w:b w:val="0"/>
          <w:i w:val="0"/>
          <w:caps w:val="0"/>
          <w:color w:val="000000" w:themeColor="text1"/>
          <w:spacing w:val="0"/>
          <w:sz w:val="28"/>
          <w:szCs w:val="28"/>
          <w:shd w:val="clear" w:fill="FFFFFF"/>
          <w14:textFill>
            <w14:solidFill>
              <w14:schemeClr w14:val="tx1"/>
            </w14:solidFill>
          </w14:textFill>
        </w:rPr>
        <w:t>培养学生的国际视野，增进学生对多文化的理解，</w:t>
      </w:r>
      <w:r>
        <w:rPr>
          <w:rFonts w:cs="Arial"/>
          <w:color w:val="000000" w:themeColor="text1"/>
          <w:sz w:val="28"/>
          <w:szCs w:val="28"/>
          <w14:textFill>
            <w14:solidFill>
              <w14:schemeClr w14:val="tx1"/>
            </w14:solidFill>
          </w14:textFill>
        </w:rPr>
        <w:t>培养学生在全球化背景下</w:t>
      </w:r>
      <w:r>
        <w:rPr>
          <w:rFonts w:hint="eastAsia" w:cs="Arial"/>
          <w:color w:val="000000" w:themeColor="text1"/>
          <w:sz w:val="28"/>
          <w:szCs w:val="28"/>
          <w14:textFill>
            <w14:solidFill>
              <w14:schemeClr w14:val="tx1"/>
            </w14:solidFill>
          </w14:textFill>
        </w:rPr>
        <w:t>学习、</w:t>
      </w:r>
      <w:r>
        <w:rPr>
          <w:rFonts w:cs="Arial"/>
          <w:color w:val="000000" w:themeColor="text1"/>
          <w:sz w:val="28"/>
          <w:szCs w:val="28"/>
          <w14:textFill>
            <w14:solidFill>
              <w14:schemeClr w14:val="tx1"/>
            </w14:solidFill>
          </w14:textFill>
        </w:rPr>
        <w:t>工作和</w:t>
      </w:r>
      <w:r>
        <w:rPr>
          <w:rFonts w:hint="eastAsia" w:cs="Arial"/>
          <w:color w:val="000000" w:themeColor="text1"/>
          <w:sz w:val="28"/>
          <w:szCs w:val="28"/>
          <w14:textFill>
            <w14:solidFill>
              <w14:schemeClr w14:val="tx1"/>
            </w14:solidFill>
          </w14:textFill>
        </w:rPr>
        <w:t>生活</w:t>
      </w:r>
      <w:r>
        <w:rPr>
          <w:rFonts w:cs="Arial"/>
          <w:color w:val="000000" w:themeColor="text1"/>
          <w:sz w:val="28"/>
          <w:szCs w:val="28"/>
          <w14:textFill>
            <w14:solidFill>
              <w14:schemeClr w14:val="tx1"/>
            </w14:solidFill>
          </w14:textFill>
        </w:rPr>
        <w:t>的能力，</w:t>
      </w:r>
      <w:r>
        <w:rPr>
          <w:rFonts w:hint="eastAsia" w:cs="Arial"/>
          <w:color w:val="000000" w:themeColor="text1"/>
          <w:sz w:val="28"/>
          <w:szCs w:val="28"/>
          <w14:textFill>
            <w14:solidFill>
              <w14:schemeClr w14:val="tx1"/>
            </w14:solidFill>
          </w14:textFill>
        </w:rPr>
        <w:t>以便学生</w:t>
      </w:r>
      <w:r>
        <w:rPr>
          <w:rFonts w:cs="Arial"/>
          <w:color w:val="000000" w:themeColor="text1"/>
          <w:sz w:val="28"/>
          <w:szCs w:val="28"/>
          <w14:textFill>
            <w14:solidFill>
              <w14:schemeClr w14:val="tx1"/>
            </w14:solidFill>
          </w14:textFill>
        </w:rPr>
        <w:t>毕业后能更好</w:t>
      </w:r>
      <w:r>
        <w:rPr>
          <w:rFonts w:hint="eastAsia" w:cs="Arial"/>
          <w:color w:val="000000" w:themeColor="text1"/>
          <w:sz w:val="28"/>
          <w:szCs w:val="28"/>
          <w14:textFill>
            <w14:solidFill>
              <w14:schemeClr w14:val="tx1"/>
            </w14:solidFill>
          </w14:textFill>
        </w:rPr>
        <w:t>地</w:t>
      </w:r>
      <w:r>
        <w:rPr>
          <w:rFonts w:cs="Arial"/>
          <w:color w:val="000000" w:themeColor="text1"/>
          <w:sz w:val="28"/>
          <w:szCs w:val="28"/>
          <w14:textFill>
            <w14:solidFill>
              <w14:schemeClr w14:val="tx1"/>
            </w14:solidFill>
          </w14:textFill>
        </w:rPr>
        <w:t>服务社会。</w:t>
      </w:r>
      <w:bookmarkStart w:id="7" w:name="_GoBack"/>
      <w:bookmarkEnd w:id="7"/>
    </w:p>
    <w:p>
      <w:pPr>
        <w:pStyle w:val="3"/>
        <w:spacing w:before="312" w:after="312"/>
        <w:rPr>
          <w:rFonts w:ascii="Times New Roman" w:hAns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六、主干学科</w:t>
      </w:r>
      <w:bookmarkEnd w:id="2"/>
    </w:p>
    <w:p>
      <w:pPr>
        <w:spacing w:line="460" w:lineRule="exact"/>
        <w:ind w:firstLine="560" w:firstLineChars="200"/>
        <w:rPr>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主干学科：</w:t>
      </w:r>
      <w:r>
        <w:rPr>
          <w:rFonts w:hint="eastAsia" w:ascii="??_GB2312"/>
          <w:color w:val="000000" w:themeColor="text1"/>
          <w:sz w:val="28"/>
          <w:szCs w:val="28"/>
          <w14:textFill>
            <w14:solidFill>
              <w14:schemeClr w14:val="tx1"/>
            </w14:solidFill>
          </w14:textFill>
        </w:rPr>
        <w:t>外国语言</w:t>
      </w:r>
      <w:r>
        <w:rPr>
          <w:rFonts w:hint="eastAsia" w:asciiTheme="minorEastAsia" w:hAnsiTheme="minorEastAsia" w:eastAsiaTheme="minorEastAsia" w:cstheme="minorEastAsia"/>
          <w:color w:val="000000" w:themeColor="text1"/>
          <w:sz w:val="28"/>
          <w:szCs w:val="28"/>
          <w14:textFill>
            <w14:solidFill>
              <w14:schemeClr w14:val="tx1"/>
            </w14:solidFill>
          </w14:textFill>
        </w:rPr>
        <w:t>文学</w:t>
      </w:r>
      <w:r>
        <w:rPr>
          <w:rFonts w:ascii="仿宋" w:hAnsi="仿宋" w:eastAsia="仿宋"/>
          <w:color w:val="000000" w:themeColor="text1"/>
          <w:sz w:val="28"/>
          <w:szCs w:val="28"/>
          <w14:textFill>
            <w14:solidFill>
              <w14:schemeClr w14:val="tx1"/>
            </w14:solidFill>
          </w14:textFill>
        </w:rPr>
        <w:t>、工商管理学</w:t>
      </w:r>
    </w:p>
    <w:p>
      <w:pPr>
        <w:pStyle w:val="3"/>
        <w:spacing w:before="312" w:after="312"/>
        <w:rPr>
          <w:rFonts w:ascii="Times New Roman" w:hAnsi="Times New Roman" w:eastAsia="宋体"/>
          <w:color w:val="000000" w:themeColor="text1"/>
          <w14:textFill>
            <w14:solidFill>
              <w14:schemeClr w14:val="tx1"/>
            </w14:solidFill>
          </w14:textFill>
        </w:rPr>
      </w:pPr>
      <w:bookmarkStart w:id="3" w:name="_Toc455260313"/>
      <w:r>
        <w:rPr>
          <w:rFonts w:hint="eastAsia" w:ascii="Times New Roman" w:eastAsia="宋体"/>
          <w:color w:val="000000" w:themeColor="text1"/>
          <w14:textFill>
            <w14:solidFill>
              <w14:schemeClr w14:val="tx1"/>
            </w14:solidFill>
          </w14:textFill>
        </w:rPr>
        <w:t>七、核心课程</w:t>
      </w:r>
      <w:bookmarkEnd w:id="3"/>
    </w:p>
    <w:p>
      <w:pPr>
        <w:spacing w:line="52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主要课程有商务基础日语、商务日语口语、商务日语听力、商务日语写作、高级日语、日本文学</w:t>
      </w:r>
      <w:r>
        <w:rPr>
          <w:rFonts w:hint="eastAsia"/>
          <w:color w:val="000000" w:themeColor="text1"/>
          <w:sz w:val="28"/>
          <w:szCs w:val="28"/>
          <w:lang w:eastAsia="zh-CN"/>
          <w14:textFill>
            <w14:solidFill>
              <w14:schemeClr w14:val="tx1"/>
            </w14:solidFill>
          </w14:textFill>
        </w:rPr>
        <w:t>概论</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日语语言学概论</w:t>
      </w:r>
      <w:r>
        <w:rPr>
          <w:rFonts w:hint="eastAsia"/>
          <w:color w:val="000000" w:themeColor="text1"/>
          <w:sz w:val="28"/>
          <w:szCs w:val="28"/>
          <w14:textFill>
            <w14:solidFill>
              <w14:schemeClr w14:val="tx1"/>
            </w14:solidFill>
          </w14:textFill>
        </w:rPr>
        <w:t>、日本经济、日本概况、</w:t>
      </w:r>
      <w:bookmarkStart w:id="4" w:name="OLE_LINK1"/>
      <w:r>
        <w:rPr>
          <w:rFonts w:hint="eastAsia"/>
          <w:color w:val="000000" w:themeColor="text1"/>
          <w:sz w:val="28"/>
          <w:szCs w:val="28"/>
          <w14:textFill>
            <w14:solidFill>
              <w14:schemeClr w14:val="tx1"/>
            </w14:solidFill>
          </w14:textFill>
        </w:rPr>
        <w:t>日语经贸阅读</w:t>
      </w:r>
      <w:bookmarkEnd w:id="4"/>
      <w:r>
        <w:rPr>
          <w:rFonts w:hint="eastAsia"/>
          <w:color w:val="000000" w:themeColor="text1"/>
          <w:sz w:val="28"/>
          <w:szCs w:val="28"/>
          <w14:textFill>
            <w14:solidFill>
              <w14:schemeClr w14:val="tx1"/>
            </w14:solidFill>
          </w14:textFill>
        </w:rPr>
        <w:t>、日语语法、商务礼仪、</w:t>
      </w:r>
      <w:r>
        <w:rPr>
          <w:rFonts w:hint="eastAsia"/>
          <w:color w:val="000000" w:themeColor="text1"/>
          <w:sz w:val="28"/>
          <w:szCs w:val="28"/>
          <w:lang w:eastAsia="zh-CN"/>
          <w14:textFill>
            <w14:solidFill>
              <w14:schemeClr w14:val="tx1"/>
            </w14:solidFill>
          </w14:textFill>
        </w:rPr>
        <w:t>日语</w:t>
      </w:r>
      <w:r>
        <w:rPr>
          <w:rFonts w:hint="eastAsia"/>
          <w:color w:val="000000" w:themeColor="text1"/>
          <w:sz w:val="28"/>
          <w:szCs w:val="28"/>
          <w14:textFill>
            <w14:solidFill>
              <w14:schemeClr w14:val="tx1"/>
            </w14:solidFill>
          </w14:textFill>
        </w:rPr>
        <w:t>簿记、日语翻译、日语经贸口译、高级视听等。其中商务类课程群包括管理学基础、</w:t>
      </w:r>
      <w:r>
        <w:rPr>
          <w:rFonts w:hint="eastAsia"/>
          <w:color w:val="000000" w:themeColor="text1"/>
          <w:sz w:val="28"/>
          <w:szCs w:val="28"/>
          <w:lang w:eastAsia="zh-CN"/>
          <w14:textFill>
            <w14:solidFill>
              <w14:schemeClr w14:val="tx1"/>
            </w14:solidFill>
          </w14:textFill>
        </w:rPr>
        <w:t>商务谈判</w:t>
      </w:r>
      <w:r>
        <w:rPr>
          <w:rFonts w:hint="eastAsia"/>
          <w:color w:val="000000" w:themeColor="text1"/>
          <w:sz w:val="28"/>
          <w:szCs w:val="28"/>
          <w14:textFill>
            <w14:solidFill>
              <w14:schemeClr w14:val="tx1"/>
            </w14:solidFill>
          </w14:textFill>
        </w:rPr>
        <w:t>、商务礼仪、</w:t>
      </w:r>
      <w:r>
        <w:rPr>
          <w:rFonts w:hint="eastAsia"/>
          <w:color w:val="000000" w:themeColor="text1"/>
          <w:sz w:val="28"/>
          <w:szCs w:val="28"/>
          <w:lang w:eastAsia="zh-CN"/>
          <w14:textFill>
            <w14:solidFill>
              <w14:schemeClr w14:val="tx1"/>
            </w14:solidFill>
          </w14:textFill>
        </w:rPr>
        <w:t>日语</w:t>
      </w:r>
      <w:r>
        <w:rPr>
          <w:rFonts w:hint="eastAsia"/>
          <w:color w:val="000000" w:themeColor="text1"/>
          <w:sz w:val="28"/>
          <w:szCs w:val="28"/>
          <w14:textFill>
            <w14:solidFill>
              <w14:schemeClr w14:val="tx1"/>
            </w14:solidFill>
          </w14:textFill>
        </w:rPr>
        <w:t>簿记等。</w:t>
      </w:r>
    </w:p>
    <w:p>
      <w:pPr>
        <w:pStyle w:val="3"/>
        <w:spacing w:before="312" w:after="312"/>
        <w:rPr>
          <w:rFonts w:ascii="Times New Roman" w:hAns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八、课程体系流程图</w:t>
      </w:r>
    </w:p>
    <w:p>
      <w:pPr>
        <w:spacing w:after="312" w:afterLines="100" w:line="460" w:lineRule="exact"/>
        <w:jc w:val="center"/>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图</w:t>
      </w:r>
      <w:r>
        <w:rPr>
          <w:color w:val="000000" w:themeColor="text1"/>
          <w:sz w:val="24"/>
          <w14:textFill>
            <w14:solidFill>
              <w14:schemeClr w14:val="tx1"/>
            </w14:solidFill>
          </w14:textFill>
        </w:rPr>
        <w:t xml:space="preserve">1 </w:t>
      </w:r>
      <w:r>
        <w:rPr>
          <w:rFonts w:hint="eastAsia" w:hAnsi="宋体"/>
          <w:color w:val="000000" w:themeColor="text1"/>
          <w:sz w:val="24"/>
          <w14:textFill>
            <w14:solidFill>
              <w14:schemeClr w14:val="tx1"/>
            </w14:solidFill>
          </w14:textFill>
        </w:rPr>
        <w:t>日语专业教学流程图</w:t>
      </w:r>
    </w:p>
    <w:p>
      <w:pPr>
        <w:spacing w:line="360" w:lineRule="auto"/>
        <w:jc w:val="center"/>
        <w:rPr>
          <w:rFonts w:eastAsia="Times New Roman"/>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115570</wp:posOffset>
                </wp:positionV>
                <wp:extent cx="5723890" cy="3738880"/>
                <wp:effectExtent l="4445" t="4445" r="17145" b="5715"/>
                <wp:wrapNone/>
                <wp:docPr id="6" name="文本框 481"/>
                <wp:cNvGraphicFramePr/>
                <a:graphic xmlns:a="http://schemas.openxmlformats.org/drawingml/2006/main">
                  <a:graphicData uri="http://schemas.microsoft.com/office/word/2010/wordprocessingShape">
                    <wps:wsp>
                      <wps:cNvSpPr txBox="1"/>
                      <wps:spPr>
                        <a:xfrm>
                          <a:off x="1130935" y="2114550"/>
                          <a:ext cx="5723890" cy="3738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lang w:val="en-US"/>
                              </w:rPr>
                            </w:pPr>
                            <w:r>
                              <w:rPr>
                                <w:lang w:val="en-US"/>
                              </w:rPr>
                              <w:drawing>
                                <wp:inline distT="0" distB="0" distL="114300" distR="114300">
                                  <wp:extent cx="5539740" cy="3485515"/>
                                  <wp:effectExtent l="0" t="0" r="3810" b="635"/>
                                  <wp:docPr id="7" name="图片 7" descr="QQ图片2018071817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180718171736"/>
                                          <pic:cNvPicPr>
                                            <a:picLocks noChangeAspect="1"/>
                                          </pic:cNvPicPr>
                                        </pic:nvPicPr>
                                        <pic:blipFill>
                                          <a:blip r:embed="rId4"/>
                                          <a:stretch>
                                            <a:fillRect/>
                                          </a:stretch>
                                        </pic:blipFill>
                                        <pic:spPr>
                                          <a:xfrm>
                                            <a:off x="0" y="0"/>
                                            <a:ext cx="5539740" cy="3485515"/>
                                          </a:xfrm>
                                          <a:prstGeom prst="rect">
                                            <a:avLst/>
                                          </a:prstGeom>
                                        </pic:spPr>
                                      </pic:pic>
                                    </a:graphicData>
                                  </a:graphic>
                                </wp:inline>
                              </w:drawing>
                            </w:r>
                          </w:p>
                        </w:txbxContent>
                      </wps:txbx>
                      <wps:bodyPr vert="horz" wrap="square" anchor="t" upright="1">
                        <a:noAutofit/>
                      </wps:bodyPr>
                    </wps:wsp>
                  </a:graphicData>
                </a:graphic>
              </wp:anchor>
            </w:drawing>
          </mc:Choice>
          <mc:Fallback>
            <w:pict>
              <v:shape id="文本框 481" o:spid="_x0000_s1026" o:spt="202" type="#_x0000_t202" style="position:absolute;left:0pt;margin-left:-0.95pt;margin-top:9.1pt;height:294.4pt;width:450.7pt;z-index:251663360;mso-width-relative:page;mso-height-relative:page;" fillcolor="#FFFFFF" filled="t" stroked="t" coordsize="21600,21600" o:gfxdata="UEsDBAoAAAAAAIdO4kAAAAAAAAAAAAAAAAAEAAAAZHJzL1BLAwQUAAAACACHTuJAKc109dkAAAAJ&#10;AQAADwAAAGRycy9kb3ducmV2LnhtbE2PwU7DMBBE70j8g7VIXFBrp0CahDg9IIHgVgpqr27sJhH2&#10;OthuWv6e5QTH2RnNvK1XZ2fZZEIcPErI5gKYwdbrATsJH+9PswJYTAq1sh6NhG8TYdVcXtSq0v6E&#10;b2bapI5RCcZKSehTGivOY9sbp+LcjwbJO/jgVCIZOq6DOlG5s3whRM6dGpAWejWax960n5ujk1Dc&#10;vUy7+Hq73rb5wZbpZjk9fwUpr68y8QAsmXP6C8MvPqFDQ0x7f0QdmZUwy0pK0r1YACO/KMt7YHsJ&#10;uVgK4E3N/3/Q/ABQSwMEFAAAAAgAh07iQBtzDGMkAgAANgQAAA4AAABkcnMvZTJvRG9jLnhtbK1T&#10;zY7TMBC+I/EOlu80SbvdTaOmK6CUCwKkhQeYOk5iyX/YbpvyAPAGnPbCnefqczB2u9td4IAQOThj&#10;+/M3M9/MzK8HJcmWOy+MrmkxyinhmplG6K6mHz+snpWU+AC6AWk0r+mee3q9ePpkvrMVH5veyIY7&#10;giTaVztb0z4EW2WZZz1X4EfGco2XrXEKAm5dlzUOdsiuZDbO88tsZ1xjnWHcezxdHi/pIvG3LWfh&#10;Xdt6HoisKcYW0urSuo5rtphD1TmwvWCnMOAfolAgNDq9p1pCALJx4jcqJZgz3rRhxIzKTNsKxlMO&#10;mE2R/5LNTQ+Wp1xQHG/vZfL/j5a93b53RDQ1vaREg8ISHb59Pdz+OHz/Qi7KIgq0s75C3I1FZBhe&#10;mAELfXfu8TDmPbROxT9mROJ9Mclnkykl+5qOi+JiOj1JzYdAGAKmV+NJOcOKMERMriZlWSZEdqay&#10;zofX3CgSjZo6rGWSGLZvfMCwEHoHiZ69kaJZCSnTxnXrl9KRLWDdV+mLEeOTRzCpya6ms+kYI2WA&#10;7ddKCGgqi4J43SV/j174h8R5+v5EHANbgu+PASSGCINKicBdsnoOzSvdkLC3KLrG6aAxGMUbSiTH&#10;YYpWQgYQ8m+QmJ3UmGSs17Eu0QrDekCaaK5Ns8ca4riinr1xn9Ejtj6m+mkDDv2DZnhcU9RgY53o&#10;esQVSQRtnm+CaUUS/sx18obNmcQ9DVLs/of7hDqP++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c109dkAAAAJAQAADwAAAAAAAAABACAAAAAiAAAAZHJzL2Rvd25yZXYueG1sUEsBAhQAFAAAAAgA&#10;h07iQBtzDGMkAgAANgQAAA4AAAAAAAAAAQAgAAAAKAEAAGRycy9lMm9Eb2MueG1sUEsFBgAAAAAG&#10;AAYAWQEAAL4FAAAAAA==&#10;">
                <v:fill on="t" focussize="0,0"/>
                <v:stroke color="#000000" joinstyle="miter"/>
                <v:imagedata o:title=""/>
                <o:lock v:ext="edit" aspectratio="f"/>
                <v:textbox>
                  <w:txbxContent>
                    <w:p>
                      <w:pPr>
                        <w:rPr>
                          <w:lang w:val="en-US"/>
                        </w:rPr>
                      </w:pPr>
                      <w:r>
                        <w:rPr>
                          <w:lang w:val="en-US"/>
                        </w:rPr>
                        <w:drawing>
                          <wp:inline distT="0" distB="0" distL="114300" distR="114300">
                            <wp:extent cx="5539740" cy="3485515"/>
                            <wp:effectExtent l="0" t="0" r="3810" b="635"/>
                            <wp:docPr id="7" name="图片 7" descr="QQ图片2018071817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180718171736"/>
                                    <pic:cNvPicPr>
                                      <a:picLocks noChangeAspect="1"/>
                                    </pic:cNvPicPr>
                                  </pic:nvPicPr>
                                  <pic:blipFill>
                                    <a:blip r:embed="rId4"/>
                                    <a:stretch>
                                      <a:fillRect/>
                                    </a:stretch>
                                  </pic:blipFill>
                                  <pic:spPr>
                                    <a:xfrm>
                                      <a:off x="0" y="0"/>
                                      <a:ext cx="5539740" cy="3485515"/>
                                    </a:xfrm>
                                    <a:prstGeom prst="rect">
                                      <a:avLst/>
                                    </a:prstGeom>
                                  </pic:spPr>
                                </pic:pic>
                              </a:graphicData>
                            </a:graphic>
                          </wp:inline>
                        </w:drawing>
                      </w:r>
                    </w:p>
                  </w:txbxContent>
                </v:textbox>
              </v:shape>
            </w:pict>
          </mc:Fallback>
        </mc:AlternateContent>
      </w:r>
    </w:p>
    <w:p>
      <w:pPr>
        <w:spacing w:line="360" w:lineRule="auto"/>
        <w:jc w:val="center"/>
        <w:rPr>
          <w:rFonts w:eastAsia="Times New Roman"/>
          <w:color w:val="000000" w:themeColor="text1"/>
          <w14:textFill>
            <w14:solidFill>
              <w14:schemeClr w14:val="tx1"/>
            </w14:solidFill>
          </w14:textFill>
        </w:rPr>
      </w:pPr>
    </w:p>
    <w:p>
      <w:pPr>
        <w:spacing w:line="360" w:lineRule="auto"/>
        <w:jc w:val="center"/>
        <w:rPr>
          <w:rFonts w:eastAsia="Times New Roman"/>
          <w:color w:val="000000" w:themeColor="text1"/>
          <w14:textFill>
            <w14:solidFill>
              <w14:schemeClr w14:val="tx1"/>
            </w14:solidFill>
          </w14:textFill>
        </w:rPr>
      </w:pPr>
    </w:p>
    <w:p>
      <w:pPr>
        <w:spacing w:line="360" w:lineRule="auto"/>
        <w:jc w:val="center"/>
        <w:rPr>
          <w:rFonts w:eastAsia="Times New Roman"/>
          <w:color w:val="000000" w:themeColor="text1"/>
          <w14:textFill>
            <w14:solidFill>
              <w14:schemeClr w14:val="tx1"/>
            </w14:solidFill>
          </w14:textFill>
        </w:rPr>
      </w:pPr>
    </w:p>
    <w:p>
      <w:pPr>
        <w:spacing w:line="360" w:lineRule="auto"/>
        <w:jc w:val="center"/>
        <w:rPr>
          <w:rFonts w:eastAsia="Times New Roman"/>
          <w:color w:val="000000" w:themeColor="text1"/>
          <w14:textFill>
            <w14:solidFill>
              <w14:schemeClr w14:val="tx1"/>
            </w14:solidFill>
          </w14:textFill>
        </w:rPr>
      </w:pPr>
    </w:p>
    <w:p>
      <w:pPr>
        <w:spacing w:line="360" w:lineRule="auto"/>
        <w:jc w:val="center"/>
        <w:rPr>
          <w:rFonts w:eastAsia="Times New Roman"/>
          <w:color w:val="000000" w:themeColor="text1"/>
          <w14:textFill>
            <w14:solidFill>
              <w14:schemeClr w14:val="tx1"/>
            </w14:solidFill>
          </w14:textFill>
        </w:rPr>
      </w:pPr>
    </w:p>
    <w:p>
      <w:pPr>
        <w:spacing w:line="360" w:lineRule="auto"/>
        <w:jc w:val="center"/>
        <w:rPr>
          <w:rFonts w:eastAsia="Times New Roman"/>
          <w:color w:val="000000" w:themeColor="text1"/>
          <w14:textFill>
            <w14:solidFill>
              <w14:schemeClr w14:val="tx1"/>
            </w14:solidFill>
          </w14:textFill>
        </w:rPr>
      </w:pPr>
    </w:p>
    <w:p>
      <w:pPr>
        <w:spacing w:line="360" w:lineRule="auto"/>
        <w:jc w:val="center"/>
        <w:rPr>
          <w:rFonts w:eastAsia="Times New Roman"/>
          <w:color w:val="000000" w:themeColor="text1"/>
          <w14:textFill>
            <w14:solidFill>
              <w14:schemeClr w14:val="tx1"/>
            </w14:solidFill>
          </w14:textFill>
        </w:rPr>
      </w:pPr>
    </w:p>
    <w:p>
      <w:pPr>
        <w:spacing w:line="360" w:lineRule="auto"/>
        <w:jc w:val="center"/>
        <w:rPr>
          <w:rFonts w:eastAsia="Times New Roman"/>
          <w:color w:val="000000" w:themeColor="text1"/>
          <w14:textFill>
            <w14:solidFill>
              <w14:schemeClr w14:val="tx1"/>
            </w14:solidFill>
          </w14:textFill>
        </w:rPr>
      </w:pPr>
    </w:p>
    <w:p>
      <w:pPr>
        <w:spacing w:line="360" w:lineRule="auto"/>
        <w:jc w:val="center"/>
        <w:rPr>
          <w:rFonts w:eastAsia="Times New Roman"/>
          <w:color w:val="000000" w:themeColor="text1"/>
          <w14:textFill>
            <w14:solidFill>
              <w14:schemeClr w14:val="tx1"/>
            </w14:solidFill>
          </w14:textFill>
        </w:rPr>
      </w:pPr>
    </w:p>
    <w:p>
      <w:pPr>
        <w:spacing w:line="360" w:lineRule="auto"/>
        <w:rPr>
          <w:rFonts w:eastAsia="Times New Roman"/>
          <w:color w:val="000000" w:themeColor="text1"/>
          <w14:textFill>
            <w14:solidFill>
              <w14:schemeClr w14:val="tx1"/>
            </w14:solidFill>
          </w14:textFill>
        </w:rPr>
      </w:pPr>
    </w:p>
    <w:p>
      <w:pPr>
        <w:spacing w:line="500" w:lineRule="exact"/>
        <w:ind w:firstLine="1890" w:firstLineChars="900"/>
        <w:rPr>
          <w:rFonts w:ascii="??_GB2312" w:hAns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50165</wp:posOffset>
                </wp:positionV>
                <wp:extent cx="628650" cy="304800"/>
                <wp:effectExtent l="13970" t="13970" r="27940" b="16510"/>
                <wp:wrapNone/>
                <wp:docPr id="1" name="Text Box 181"/>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rgbClr val="FFFFFF"/>
                        </a:solidFill>
                        <a:ln w="28575" cap="flat" cmpd="sng">
                          <a:solidFill>
                            <a:srgbClr val="0000FF"/>
                          </a:solidFill>
                          <a:prstDash val="solid"/>
                          <a:miter/>
                          <a:headEnd type="none" w="med" len="med"/>
                          <a:tailEnd type="none" w="med" len="med"/>
                        </a:ln>
                      </wps:spPr>
                      <wps:txbx>
                        <w:txbxContent>
                          <w:p>
                            <w:pPr>
                              <w:jc w:val="center"/>
                              <w:rPr>
                                <w:rFonts w:ascii="宋体"/>
                                <w:b/>
                                <w:sz w:val="18"/>
                                <w:szCs w:val="18"/>
                              </w:rPr>
                            </w:pPr>
                          </w:p>
                        </w:txbxContent>
                      </wps:txbx>
                      <wps:bodyPr vert="horz" anchor="t" upright="1"/>
                    </wps:wsp>
                  </a:graphicData>
                </a:graphic>
              </wp:anchor>
            </w:drawing>
          </mc:Choice>
          <mc:Fallback>
            <w:pict>
              <v:shape id="Text Box 181" o:spid="_x0000_s1026" o:spt="202" type="#_x0000_t202" style="position:absolute;left:0pt;margin-left:40.65pt;margin-top:3.95pt;height:24pt;width:49.5pt;z-index:251658240;mso-width-relative:page;mso-height-relative:page;" fillcolor="#FFFFFF" filled="t" stroked="t" coordsize="21600,21600" o:gfxdata="UEsDBAoAAAAAAIdO4kAAAAAAAAAAAAAAAAAEAAAAZHJzL1BLAwQUAAAACACHTuJAkCO6O9cAAAAH&#10;AQAADwAAAGRycy9kb3ducmV2LnhtbE2OTU/DMBBE70j8B2uRuKDWCaWQhmwqFalC4oDSFnF24iWJ&#10;iNcmdr/+Pe4JjqMZvXnF8mQGcaDR95YR0mkCgrixuucW4WO3nmQgfFCs1WCZEM7kYVleXxUq1/bI&#10;GzpsQysihH2uELoQXC6lbzoyyk+tI47dlx2NCjGOrdSjOka4GeR9kjxKo3qOD51y9NJR873dG4S3&#10;qt+sPl39cF6tf16rKr1zfvaOeHuTJs8gAp3C3xgu+lEdyuhU2z1rLwaELJ3FJcLTAsSlzpKYa4T5&#10;fAGyLOR///IXUEsDBBQAAAAIAIdO4kBLqtxa8wEAAAAEAAAOAAAAZHJzL2Uyb0RvYy54bWytU02P&#10;0zAQvSPxHyzfadJCSxU1XQlKuSBA2uUHuLaTWPKXbG+T8ut5dkt3FzisVuTgjD3Pb2beeDY3k9Hk&#10;KENUzrZ0PqspkZY7oWzf0h93+zdrSmJiVjDtrGzpSUZ6s339ajP6Ri7c4LSQgYDExmb0LR1S8k1V&#10;RT5Iw+LMeWnh7FwwLGEb+koENoLd6GpR16tqdEH44LiMEae7s5NuC3/XSZ6+dV2UieiWIrdU1lDW&#10;Q16r7YY1fWB+UPySBntBFoYpi6BXqh1LjNwH9ReVUTy46Lo0485UrusUl6UGVDOv/6jmdmBellog&#10;TvRXmeL/o+Vfj98DUQK9o8QygxbdySmRD24i8/U86zP62AB26wFMExwZezmPOMxlT10w+Y+CCPxQ&#10;+nRVN9NxHK4W69USHg7X2/rdui7qVw+XfYjps3SGZKOlAc0rmrLjl5gQENDfkBwrOq3EXmldNqE/&#10;fNSBHBkavS9fzhFXnsC0JWNLF+vl+yUSYXhwnWYJpvGQINq+BHxyJT5mrvHt9/9izpntWBzOGRSG&#10;DGONUUmGYg2SiU9WkHTykNliHmjOxkhBiZYYn2wVZGJKPweJ8rRFlblF51ZkK02HCTTZPDhxQtsw&#10;oBB0cOEnJcxyGC1F1fc+qH6Ap/SzsOCZFdUuI5Hf8eN9ifUwuN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CO6O9cAAAAHAQAADwAAAAAAAAABACAAAAAiAAAAZHJzL2Rvd25yZXYueG1sUEsBAhQA&#10;FAAAAAgAh07iQEuq3FrzAQAAAAQAAA4AAAAAAAAAAQAgAAAAJgEAAGRycy9lMm9Eb2MueG1sUEsF&#10;BgAAAAAGAAYAWQEAAIsFAAAAAA==&#10;">
                <v:fill on="t" focussize="0,0"/>
                <v:stroke weight="2.25pt" color="#0000FF" joinstyle="miter"/>
                <v:imagedata o:title=""/>
                <o:lock v:ext="edit" aspectratio="f"/>
                <v:textbox>
                  <w:txbxContent>
                    <w:p>
                      <w:pPr>
                        <w:jc w:val="center"/>
                        <w:rPr>
                          <w:rFonts w:ascii="宋体"/>
                          <w:b/>
                          <w:sz w:val="18"/>
                          <w:szCs w:val="18"/>
                        </w:rPr>
                      </w:pPr>
                    </w:p>
                  </w:txbxContent>
                </v:textbox>
              </v:shape>
            </w:pict>
          </mc:Fallback>
        </mc:AlternateContent>
      </w:r>
      <w:r>
        <w:rPr>
          <w:rFonts w:hint="eastAsia" w:ascii="??_GB2312" w:hAnsi="宋体"/>
          <w:color w:val="000000" w:themeColor="text1"/>
          <w:sz w:val="24"/>
          <w14:textFill>
            <w14:solidFill>
              <w14:schemeClr w14:val="tx1"/>
            </w14:solidFill>
          </w14:textFill>
        </w:rPr>
        <w:t>表示专业主干课程</w:t>
      </w:r>
    </w:p>
    <w:p>
      <w:pPr>
        <w:spacing w:line="500" w:lineRule="exact"/>
        <w:ind w:firstLine="1890" w:firstLineChars="900"/>
        <w:rPr>
          <w:rFonts w:ascii="??_GB2312" w:hAns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523240</wp:posOffset>
                </wp:positionH>
                <wp:positionV relativeFrom="paragraph">
                  <wp:posOffset>91440</wp:posOffset>
                </wp:positionV>
                <wp:extent cx="628650" cy="259715"/>
                <wp:effectExtent l="9525" t="0" r="17145" b="20320"/>
                <wp:wrapNone/>
                <wp:docPr id="2" name="Text Box 110"/>
                <wp:cNvGraphicFramePr/>
                <a:graphic xmlns:a="http://schemas.openxmlformats.org/drawingml/2006/main">
                  <a:graphicData uri="http://schemas.microsoft.com/office/word/2010/wordprocessingShape">
                    <wps:wsp>
                      <wps:cNvSpPr txBox="1"/>
                      <wps:spPr>
                        <a:xfrm>
                          <a:off x="0" y="0"/>
                          <a:ext cx="628650" cy="259715"/>
                        </a:xfrm>
                        <a:prstGeom prst="rect">
                          <a:avLst/>
                        </a:prstGeom>
                        <a:solidFill>
                          <a:srgbClr val="FFFFFF"/>
                        </a:solidFill>
                        <a:ln w="19050" cap="flat" cmpd="sng">
                          <a:solidFill>
                            <a:srgbClr val="000000"/>
                          </a:solidFill>
                          <a:prstDash val="sysDot"/>
                          <a:miter/>
                          <a:headEnd type="none" w="med" len="med"/>
                          <a:tailEnd type="none" w="med" len="med"/>
                        </a:ln>
                      </wps:spPr>
                      <wps:txbx>
                        <w:txbxContent>
                          <w:p>
                            <w:pPr>
                              <w:jc w:val="center"/>
                              <w:rPr>
                                <w:rFonts w:ascii="宋体"/>
                                <w:b/>
                                <w:sz w:val="18"/>
                                <w:szCs w:val="18"/>
                              </w:rPr>
                            </w:pPr>
                          </w:p>
                        </w:txbxContent>
                      </wps:txbx>
                      <wps:bodyPr upright="1"/>
                    </wps:wsp>
                  </a:graphicData>
                </a:graphic>
              </wp:anchor>
            </w:drawing>
          </mc:Choice>
          <mc:Fallback>
            <w:pict>
              <v:shape id="Text Box 110" o:spid="_x0000_s1026" o:spt="202" type="#_x0000_t202" style="position:absolute;left:0pt;margin-left:41.2pt;margin-top:7.2pt;height:20.45pt;width:49.5pt;z-index:251659264;mso-width-relative:page;mso-height-relative:page;" fillcolor="#FFFFFF" filled="t" stroked="t" coordsize="21600,21600" o:gfxdata="UEsDBAoAAAAAAIdO4kAAAAAAAAAAAAAAAAAEAAAAZHJzL1BLAwQUAAAACACHTuJASxVkGdcAAAAI&#10;AQAADwAAAGRycy9kb3ducmV2LnhtbE2Py07DMBBF90j8gzVI7KiTPiAKcboAKlYIUliwdONpEtUe&#10;R7HThL9nuoLVPO7VnTPFdnZWnHEInScF6SIBgVR701Gj4Otzd5eBCFGT0dYTKvjBANvy+qrQufET&#10;VXjex0ZwCIVcK2hj7HMpQ92i02HheyTWjn5wOvI4NNIMeuJwZ+UySe6l0x3xhVb3+NRifdqPTkEV&#10;X58/vk/h3aUvu7fjys7j9FApdXuTJo8gIs7xzwwXfEaHkpkOfiQThFWQLdfs5P2a60XPUm4OCjab&#10;FciykP8fKH8BUEsDBBQAAAAIAIdO4kCpRUkW4gEAAOoDAAAOAAAAZHJzL2Uyb0RvYy54bWytU8tu&#10;2zAQvBfoPxC815IN2E0EywFS170UbYGkH7AmKYkAX+Aylvz3XdKunaQ9FEV0oJbc4XB2llzfTdaw&#10;g4qovWv5fFZzppzwUru+5T8fdx9uOMMEToLxTrX8qJDfbd6/W4+hUQs/eCNVZETisBlDy4eUQlNV&#10;KAZlAWc+KEfJzkcLiaaxr2SEkditqRZ1vapGH2WIXihEWt2eknxT+LtOifS961AlZlpO2lIZYxn3&#10;eaw2a2j6CGHQ4iwD/kOFBe3o0AvVFhKwp6j/oLJaRI++SzPhbeW7TgtVaqBq5vWrah4GCKrUQuZg&#10;uNiEb0crvh1+RKZlyxecObDUokc1JXbvJzafF3/GgA3BHgIB00QJ6nP2La8jLeaypy7a/KeCGOXJ&#10;6ePF3UwnaHG1uFktKSMotVjefpwvM0t13Rwipi/KW5aDlkdqXvEUDl8xnaC/Ifks9EbLnTamTGK/&#10;/2QiOwA1ele+M/sLmHFsJPm3dRECdOE6A4k02UAWoOvLgS+24HPmunx/Y87KtoDDSQEecetTxkFj&#10;dVKxRIMC+dlJlo6BfHb0IHiWY5XkzCh6PzkqyATa/AuS3DOOTLz2Ikdp2k9Ek8O9l0fq21OIuh/I&#10;1NK5AqcLVdw/X/58Y5/PC+n1i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sVZBnXAAAACAEA&#10;AA8AAAAAAAAAAQAgAAAAIgAAAGRycy9kb3ducmV2LnhtbFBLAQIUABQAAAAIAIdO4kCpRUkW4gEA&#10;AOoDAAAOAAAAAAAAAAEAIAAAACYBAABkcnMvZTJvRG9jLnhtbFBLBQYAAAAABgAGAFkBAAB6BQAA&#10;AAA=&#10;">
                <v:fill on="t" focussize="0,0"/>
                <v:stroke weight="1.5pt" color="#000000" joinstyle="miter" dashstyle="1 1"/>
                <v:imagedata o:title=""/>
                <o:lock v:ext="edit" aspectratio="f"/>
                <v:textbox>
                  <w:txbxContent>
                    <w:p>
                      <w:pPr>
                        <w:jc w:val="center"/>
                        <w:rPr>
                          <w:rFonts w:ascii="宋体"/>
                          <w:b/>
                          <w:sz w:val="18"/>
                          <w:szCs w:val="18"/>
                        </w:rPr>
                      </w:pPr>
                    </w:p>
                  </w:txbxContent>
                </v:textbox>
              </v:shape>
            </w:pict>
          </mc:Fallback>
        </mc:AlternateContent>
      </w:r>
      <w:r>
        <w:rPr>
          <w:rFonts w:hint="eastAsia" w:ascii="??_GB2312" w:hAnsi="宋体"/>
          <w:color w:val="000000" w:themeColor="text1"/>
          <w:sz w:val="24"/>
          <w14:textFill>
            <w14:solidFill>
              <w14:schemeClr w14:val="tx1"/>
            </w14:solidFill>
          </w14:textFill>
        </w:rPr>
        <w:t>表示学科基础课程</w:t>
      </w:r>
    </w:p>
    <w:p>
      <w:pPr>
        <w:spacing w:line="500" w:lineRule="exact"/>
        <w:rPr>
          <w:rFonts w:ascii="??_GB2312" w:hAns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523240</wp:posOffset>
                </wp:positionH>
                <wp:positionV relativeFrom="paragraph">
                  <wp:posOffset>97790</wp:posOffset>
                </wp:positionV>
                <wp:extent cx="638175" cy="297180"/>
                <wp:effectExtent l="19050" t="19050" r="28575" b="19050"/>
                <wp:wrapNone/>
                <wp:docPr id="3" name="Text Box 111"/>
                <wp:cNvGraphicFramePr/>
                <a:graphic xmlns:a="http://schemas.openxmlformats.org/drawingml/2006/main">
                  <a:graphicData uri="http://schemas.microsoft.com/office/word/2010/wordprocessingShape">
                    <wps:wsp>
                      <wps:cNvSpPr txBox="1"/>
                      <wps:spPr>
                        <a:xfrm>
                          <a:off x="0" y="0"/>
                          <a:ext cx="638175" cy="297180"/>
                        </a:xfrm>
                        <a:prstGeom prst="rect">
                          <a:avLst/>
                        </a:prstGeom>
                        <a:solidFill>
                          <a:srgbClr val="FFFFFF"/>
                        </a:solidFill>
                        <a:ln w="38100" cap="flat" cmpd="dbl">
                          <a:solidFill>
                            <a:srgbClr val="FF0000"/>
                          </a:solidFill>
                          <a:prstDash val="solid"/>
                          <a:miter/>
                          <a:headEnd type="none" w="med" len="med"/>
                          <a:tailEnd type="none" w="med" len="med"/>
                        </a:ln>
                      </wps:spPr>
                      <wps:txbx>
                        <w:txbxContent>
                          <w:p>
                            <w:pPr>
                              <w:jc w:val="center"/>
                              <w:rPr>
                                <w:rFonts w:ascii="宋体"/>
                                <w:b/>
                                <w:sz w:val="18"/>
                                <w:szCs w:val="18"/>
                              </w:rPr>
                            </w:pPr>
                          </w:p>
                        </w:txbxContent>
                      </wps:txbx>
                      <wps:bodyPr upright="1"/>
                    </wps:wsp>
                  </a:graphicData>
                </a:graphic>
              </wp:anchor>
            </w:drawing>
          </mc:Choice>
          <mc:Fallback>
            <w:pict>
              <v:shape id="Text Box 111" o:spid="_x0000_s1026" o:spt="202" type="#_x0000_t202" style="position:absolute;left:0pt;margin-left:41.2pt;margin-top:7.7pt;height:23.4pt;width:50.25pt;z-index:251660288;mso-width-relative:page;mso-height-relative:page;" fillcolor="#FFFFFF" filled="t" stroked="t" coordsize="21600,21600" o:gfxdata="UEsDBAoAAAAAAIdO4kAAAAAAAAAAAAAAAAAEAAAAZHJzL1BLAwQUAAAACACHTuJAjz/tH9UAAAAI&#10;AQAADwAAAGRycy9kb3ducmV2LnhtbE2PMU/DMBCFdyT+g3VIbNRuBFEIcTpUQgxdILS7Ex9JaHyO&#10;bLcN/57rBNPp7j299121Wdwkzhji6EnDeqVAIHXejtRr2H++PhQgYjJkzeQJNfxghE19e1OZ0voL&#10;feC5Sb3gEIql0TCkNJdSxm5AZ+LKz0isffngTOI19NIGc+FwN8lMqVw6MxI3DGbG7YDdsTk57v3O&#10;D8txTE1QXobDu9q1b9ud1vd3a/UCIuGS/sxwxWd0qJmp9SeyUUwaiuyRnXx/4nnVi+wZRKshzzKQ&#10;dSX/P1D/AlBLAwQUAAAACACHTuJAZrQkq+QBAADpAwAADgAAAGRycy9lMm9Eb2MueG1srVPLbtsw&#10;ELwXyD8QvNeSHDRxBcsBWte9BG2BJB+w4kMiwBdIxpL/Pks6ceo0h6KoDtSSuxzOzJLrm9loshch&#10;Kmc72ixqSoRljis7dPThfvdxRUlMYDloZ0VHDyLSm83Fh/XkW7F0o9NcBIIgNraT7+iYkm+rKrJR&#10;GIgL54XFpHTBQMJpGCoeYEJ0o6tlXV9VkwvcB8dEjLi6PSbppuBLKVj6KWUUieiOIrdUxlDGPo/V&#10;Zg3tEMCPij3TgH9gYUBZPPQEtYUE5DGoP6CMYsFFJ9OCOVM5KRUTRQOqaeo3au5G8KJoQXOiP9kU&#10;/x8s+7H/FYjiHb2kxILBFt2LOZEvbiZN02R/Jh9bLLvzWJhmTGCfX9YjLmbZswwm/1EQwTw6fTi5&#10;m+EYLl5drprrT5QwTC0/Xzer4n71utmHmL4LZ0gOOhqwecVT2N/GhESw9KUknxWdVnyntC6TMPRf&#10;dSB7wEbvypc54pazMm3JhFJXTY0UGeCFkxoShsajBbzX5cCzLfEcucbvPeTMbAtxPDIoCLkMWqOS&#10;CCUaBfBvlpN08GizxfdAMxsjOCVa4PPJUalMoPTfVKI8bVFlbtGxFTlKcz8jTA57xw/Ytkcf1DCi&#10;p6VxpRzvU7Hn+e7nC/v7vIC+vtDN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8/7R/VAAAACAEA&#10;AA8AAAAAAAAAAQAgAAAAIgAAAGRycy9kb3ducmV2LnhtbFBLAQIUABQAAAAIAIdO4kBmtCSr5AEA&#10;AOkDAAAOAAAAAAAAAAEAIAAAACQBAABkcnMvZTJvRG9jLnhtbFBLBQYAAAAABgAGAFkBAAB6BQAA&#10;AAA=&#10;">
                <v:fill on="t" focussize="0,0"/>
                <v:stroke weight="3pt" color="#FF0000" linestyle="thinThin" joinstyle="miter"/>
                <v:imagedata o:title=""/>
                <o:lock v:ext="edit" aspectratio="f"/>
                <v:textbox>
                  <w:txbxContent>
                    <w:p>
                      <w:pPr>
                        <w:jc w:val="center"/>
                        <w:rPr>
                          <w:rFonts w:ascii="宋体"/>
                          <w:b/>
                          <w:sz w:val="18"/>
                          <w:szCs w:val="18"/>
                        </w:rPr>
                      </w:pPr>
                    </w:p>
                  </w:txbxContent>
                </v:textbox>
              </v:shape>
            </w:pict>
          </mc:Fallback>
        </mc:AlternateContent>
      </w:r>
      <w:r>
        <w:rPr>
          <w:rFonts w:ascii="??_GB2312" w:hAnsi="宋体"/>
          <w:color w:val="000000" w:themeColor="text1"/>
          <w:sz w:val="24"/>
          <w14:textFill>
            <w14:solidFill>
              <w14:schemeClr w14:val="tx1"/>
            </w14:solidFill>
          </w14:textFill>
        </w:rPr>
        <w:t xml:space="preserve">                </w:t>
      </w:r>
      <w:r>
        <w:rPr>
          <w:rFonts w:hint="eastAsia" w:ascii="??_GB2312" w:hAnsi="宋体"/>
          <w:color w:val="000000" w:themeColor="text1"/>
          <w:sz w:val="24"/>
          <w14:textFill>
            <w14:solidFill>
              <w14:schemeClr w14:val="tx1"/>
            </w14:solidFill>
          </w14:textFill>
        </w:rPr>
        <w:t>表示实践课程</w:t>
      </w:r>
    </w:p>
    <w:p>
      <w:pPr>
        <w:spacing w:line="500" w:lineRule="exact"/>
        <w:rPr>
          <w:rFonts w:ascii="??_GB2312" w:hAns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509270</wp:posOffset>
                </wp:positionH>
                <wp:positionV relativeFrom="paragraph">
                  <wp:posOffset>126365</wp:posOffset>
                </wp:positionV>
                <wp:extent cx="638175" cy="259715"/>
                <wp:effectExtent l="5080" t="4445" r="12065" b="10160"/>
                <wp:wrapNone/>
                <wp:docPr id="4" name="Text Box 188"/>
                <wp:cNvGraphicFramePr/>
                <a:graphic xmlns:a="http://schemas.openxmlformats.org/drawingml/2006/main">
                  <a:graphicData uri="http://schemas.microsoft.com/office/word/2010/wordprocessingShape">
                    <wps:wsp>
                      <wps:cNvSpPr txBox="1"/>
                      <wps:spPr>
                        <a:xfrm>
                          <a:off x="0" y="0"/>
                          <a:ext cx="638175"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b/>
                                <w:i/>
                                <w:sz w:val="18"/>
                                <w:szCs w:val="18"/>
                              </w:rPr>
                            </w:pPr>
                          </w:p>
                        </w:txbxContent>
                      </wps:txbx>
                      <wps:bodyPr upright="1"/>
                    </wps:wsp>
                  </a:graphicData>
                </a:graphic>
              </wp:anchor>
            </w:drawing>
          </mc:Choice>
          <mc:Fallback>
            <w:pict>
              <v:shape id="Text Box 188" o:spid="_x0000_s1026" o:spt="202" type="#_x0000_t202" style="position:absolute;left:0pt;margin-left:40.1pt;margin-top:9.95pt;height:20.45pt;width:50.25pt;z-index:251661312;mso-width-relative:page;mso-height-relative:page;" fillcolor="#FFFFFF" filled="t" stroked="t" coordsize="21600,21600" o:gfxdata="UEsDBAoAAAAAAIdO4kAAAAAAAAAAAAAAAAAEAAAAZHJzL1BLAwQUAAAACACHTuJAyjGdb9YAAAAI&#10;AQAADwAAAGRycy9kb3ducmV2LnhtbE2PwU7DMAyG70i8Q2QkLmhLNlDXlqY7IIHgBgONa9Z6bUXi&#10;lCTrxtvjneBo/78+f67WJ2fFhCEOnjQs5goEUuPbgToNH++PsxxETIZaYz2hhh+MsK4vLypTtv5I&#10;bzhtUicYQrE0GvqUxlLK2PToTJz7EYmzvQ/OJB5DJ9tgjgx3Vi6VyqQzA/GF3oz40GPztTk4Dfnd&#10;8/QZX25ft022t0W6WU1P30Hr66uFugeR8JT+ynDWZ3Wo2WnnD9RGYZmhltzkfVGAOOe5WoHYachU&#10;DrKu5P8H6l9QSwMEFAAAAAgAh07iQJ3oGpfiAQAA6AMAAA4AAABkcnMvZTJvRG9jLnhtbK1TTW/b&#10;MAy9D9h/EHRfHGdLmxpxCmxZdhm2Au1+ACPJtgB9QVRj59+PUtK03XYYhvkgU+TTE/lIrW8na9hB&#10;RdTetbyezTlTTnipXd/yHw+7dyvOMIGTYLxTLT8q5Lebt2/WY2jUwg/eSBUZkThsxtDyIaXQVBWK&#10;QVnAmQ/KUbDz0UKibewrGWEkdmuqxXx+VY0+yhC9UIjk3Z6CfFP4u06J9L3rUCVmWk65pbLGsu7z&#10;Wm3W0PQRwqDFOQ34hywsaEeXXqi2kIA9Rv0bldUievRdmglvK991WqhSA1VTz3+p5n6AoEotJA6G&#10;i0z4/2jFt8NdZFq2/ANnDiy16EFNiX30E6tXq6zPGLAh2H0gYJooQH1+8iM5c9lTF23+U0GM4qT0&#10;8aJuphPkvHq/qq+XnAkKLZY31/Uys1TPh0PE9EV5y7LR8kjNK5rC4SumE/QJku9Cb7TcaWPKJvb7&#10;TyayA1Cjd+U7s7+CGcfGlt8sFzkPoHnrDCQybSAF0PXlvlcn8CXxvHx/Is6JbQGHUwKFIcOgsTqp&#10;WKxBgfzsJEvHQCo7eg48J2OV5Mwoej3ZKsgE2vwNkrQzjiTMHTp1Iltp2k9Ek829l0fq2mOIuh9I&#10;0tK3AqdxKtqfRz/P68t9IX1+oJ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jGdb9YAAAAIAQAA&#10;DwAAAAAAAAABACAAAAAiAAAAZHJzL2Rvd25yZXYueG1sUEsBAhQAFAAAAAgAh07iQJ3oGpfiAQAA&#10;6AMAAA4AAAAAAAAAAQAgAAAAJQEAAGRycy9lMm9Eb2MueG1sUEsFBgAAAAAGAAYAWQEAAHkFAAAA&#10;AA==&#10;">
                <v:fill on="t" focussize="0,0"/>
                <v:stroke color="#000000" joinstyle="miter"/>
                <v:imagedata o:title=""/>
                <o:lock v:ext="edit" aspectratio="f"/>
                <v:textbox>
                  <w:txbxContent>
                    <w:p>
                      <w:pPr>
                        <w:jc w:val="center"/>
                        <w:rPr>
                          <w:rFonts w:ascii="宋体"/>
                          <w:b/>
                          <w:i/>
                          <w:sz w:val="18"/>
                          <w:szCs w:val="18"/>
                        </w:rPr>
                      </w:pPr>
                    </w:p>
                  </w:txbxContent>
                </v:textbox>
              </v:shape>
            </w:pict>
          </mc:Fallback>
        </mc:AlternateContent>
      </w:r>
      <w:r>
        <w:rPr>
          <w:rFonts w:ascii="??_GB2312" w:hAnsi="宋体"/>
          <w:color w:val="000000" w:themeColor="text1"/>
          <w:sz w:val="24"/>
          <w14:textFill>
            <w14:solidFill>
              <w14:schemeClr w14:val="tx1"/>
            </w14:solidFill>
          </w14:textFill>
        </w:rPr>
        <w:t xml:space="preserve">                </w:t>
      </w:r>
      <w:r>
        <w:rPr>
          <w:rFonts w:hint="eastAsia" w:ascii="??_GB2312" w:hAnsi="宋体"/>
          <w:color w:val="000000" w:themeColor="text1"/>
          <w:sz w:val="24"/>
          <w14:textFill>
            <w14:solidFill>
              <w14:schemeClr w14:val="tx1"/>
            </w14:solidFill>
          </w14:textFill>
        </w:rPr>
        <w:t>表示专业课程</w:t>
      </w:r>
    </w:p>
    <w:p>
      <w:pPr>
        <w:spacing w:line="500" w:lineRule="exac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534670</wp:posOffset>
                </wp:positionH>
                <wp:positionV relativeFrom="paragraph">
                  <wp:posOffset>127000</wp:posOffset>
                </wp:positionV>
                <wp:extent cx="609600" cy="259715"/>
                <wp:effectExtent l="13970" t="13970" r="16510" b="15875"/>
                <wp:wrapNone/>
                <wp:docPr id="5" name="Text Box 195"/>
                <wp:cNvGraphicFramePr/>
                <a:graphic xmlns:a="http://schemas.openxmlformats.org/drawingml/2006/main">
                  <a:graphicData uri="http://schemas.microsoft.com/office/word/2010/wordprocessingShape">
                    <wps:wsp>
                      <wps:cNvSpPr txBox="1"/>
                      <wps:spPr>
                        <a:xfrm>
                          <a:off x="0" y="0"/>
                          <a:ext cx="609600" cy="259715"/>
                        </a:xfrm>
                        <a:prstGeom prst="rect">
                          <a:avLst/>
                        </a:prstGeom>
                        <a:solidFill>
                          <a:srgbClr val="FFFFFF"/>
                        </a:solidFill>
                        <a:ln w="28575" cap="flat" cmpd="sng">
                          <a:solidFill>
                            <a:srgbClr val="548DD4"/>
                          </a:solidFill>
                          <a:prstDash val="dash"/>
                          <a:miter/>
                          <a:headEnd type="none" w="med" len="med"/>
                          <a:tailEnd type="none" w="med" len="med"/>
                        </a:ln>
                      </wps:spPr>
                      <wps:txbx>
                        <w:txbxContent>
                          <w:p>
                            <w:pPr>
                              <w:jc w:val="center"/>
                              <w:rPr>
                                <w:rFonts w:ascii="宋体"/>
                                <w:b/>
                                <w:sz w:val="18"/>
                                <w:szCs w:val="18"/>
                              </w:rPr>
                            </w:pPr>
                          </w:p>
                        </w:txbxContent>
                      </wps:txbx>
                      <wps:bodyPr upright="1"/>
                    </wps:wsp>
                  </a:graphicData>
                </a:graphic>
              </wp:anchor>
            </w:drawing>
          </mc:Choice>
          <mc:Fallback>
            <w:pict>
              <v:shape id="Text Box 195" o:spid="_x0000_s1026" o:spt="202" type="#_x0000_t202" style="position:absolute;left:0pt;margin-left:42.1pt;margin-top:10pt;height:20.45pt;width:48pt;z-index:251662336;mso-width-relative:page;mso-height-relative:page;" fillcolor="#FFFFFF" filled="t" stroked="t" coordsize="21600,21600" o:gfxdata="UEsDBAoAAAAAAIdO4kAAAAAAAAAAAAAAAAAEAAAAZHJzL1BLAwQUAAAACACHTuJAn1AYwNYAAAAI&#10;AQAADwAAAGRycy9kb3ducmV2LnhtbE2PwU7DMBBE70j8g7VIXBC1U1CVhmwqBOLAAQGBD3DjbRIR&#10;r0PspuXv2Z7guDujmTfl5ugHNdMU+8AI2cKAIm6C67lF+Px4us5BxWTZ2SEwIfxQhE11flbawoUD&#10;v9Ncp1ZJCMfCInQpjYXWsenI27gII7FouzB5m+ScWu0me5BwP+ilMSvtbc/S0NmRHjpqvuq9R0ht&#10;dvPSrZ+/ra7nx/B2P79mVzvEy4vM3IFKdEx/ZjjhCzpUwrQNe3ZRDQj57VKcCNIC6qTnRh5bhJVZ&#10;g65K/X9A9QtQSwMEFAAAAAgAh07iQAp7odDnAQAA6AMAAA4AAABkcnMvZTJvRG9jLnhtbK1Ty27b&#10;MBC8F+g/ELzXko3YsQXLARLVvRRtgSQfsOZDIsAXSMaS/75LOnGStoeiqA7Ukjsc7syS25vJaHIU&#10;ISpnWzqf1ZQIyxxXtm/p48P+05qSmMBy0M6Klp5EpDe7jx+2o2/Ewg1OcxEIktjYjL6lQ0q+qarI&#10;BmEgzpwXFpPSBQMJp6GveIAR2Y2uFnW9qkYXuA+OiRhxtTsn6a7wSylY+i5lFInolmJtqYyhjIc8&#10;VrstNH0APyj2XAb8QxUGlMVDL1QdJCBPQf1GZRQLLjqZZsyZykmpmCgaUM28/kXN/QBeFC1oTvQX&#10;m+L/o2Xfjj8CUbylS0osGGzRg5gSuXUTmW+W2Z/RxwZh9x6BacIE9vllPeJilj3JYPIfBRHMo9On&#10;i7uZjuHiqt6saswwTC2Wm+t5Ya9eN/sQ0xfhDMlBSwM2r3gKx68xYSEIfYHks6LTiu+V1mUS+sOd&#10;DuQI2Oh9+XKNuOUdTFsy4unr5TXKZYAXTmpIGBqPFkTblwPfbYlvmZdX6667+hNzrqyDOJwr4Bhl&#10;FDRGJRFKNAjgny0n6eTRZYvPgeZijOCUaIGvJ0cFmUDpv0GiOm1RZO7QuRM5StNhQpocHhw/Ydee&#10;fFD9gJaWvhU4XqfizvPVz/f17byQvj7Q3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UBjA1gAA&#10;AAgBAAAPAAAAAAAAAAEAIAAAACIAAABkcnMvZG93bnJldi54bWxQSwECFAAUAAAACACHTuJACnuh&#10;0OcBAADoAwAADgAAAAAAAAABACAAAAAlAQAAZHJzL2Uyb0RvYy54bWxQSwUGAAAAAAYABgBZAQAA&#10;fgUAAAAA&#10;">
                <v:fill on="t" focussize="0,0"/>
                <v:stroke weight="2.25pt" color="#548DD4" joinstyle="miter" dashstyle="dash"/>
                <v:imagedata o:title=""/>
                <o:lock v:ext="edit" aspectratio="f"/>
                <v:textbox>
                  <w:txbxContent>
                    <w:p>
                      <w:pPr>
                        <w:jc w:val="center"/>
                        <w:rPr>
                          <w:rFonts w:ascii="宋体"/>
                          <w:b/>
                          <w:sz w:val="18"/>
                          <w:szCs w:val="18"/>
                        </w:rPr>
                      </w:pPr>
                    </w:p>
                  </w:txbxContent>
                </v:textbox>
              </v:shape>
            </w:pict>
          </mc:Fallback>
        </mc:AlternateConten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表示通识课程</w:t>
      </w:r>
      <w:bookmarkStart w:id="5" w:name="_Toc455260314"/>
    </w:p>
    <w:p>
      <w:pPr>
        <w:pStyle w:val="3"/>
        <w:numPr>
          <w:ilvl w:val="0"/>
          <w:numId w:val="1"/>
        </w:numPr>
        <w:spacing w:before="312" w:after="312"/>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与毕业要求对应的课程矩阵</w:t>
      </w:r>
    </w:p>
    <w:p>
      <w:pPr>
        <w:spacing w:after="156" w:afterLines="50" w:line="460" w:lineRule="exact"/>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表</w:t>
      </w:r>
      <w:r>
        <w:rPr>
          <w:color w:val="000000" w:themeColor="text1"/>
          <w:sz w:val="24"/>
          <w14:textFill>
            <w14:solidFill>
              <w14:schemeClr w14:val="tx1"/>
            </w14:solidFill>
          </w14:textFill>
        </w:rPr>
        <w:t xml:space="preserve">2 </w:t>
      </w:r>
      <w:r>
        <w:rPr>
          <w:rFonts w:hint="eastAsia" w:ascii="宋体" w:hAnsi="宋体" w:cs="宋体"/>
          <w:color w:val="000000" w:themeColor="text1"/>
          <w:sz w:val="24"/>
          <w14:textFill>
            <w14:solidFill>
              <w14:schemeClr w14:val="tx1"/>
            </w14:solidFill>
          </w14:textFill>
        </w:rPr>
        <w:t>日语专业要求课程实现矩阵</w:t>
      </w:r>
    </w:p>
    <w:bookmarkEnd w:id="5"/>
    <w:tbl>
      <w:tblPr>
        <w:tblStyle w:val="13"/>
        <w:tblW w:w="8850" w:type="dxa"/>
        <w:tblInd w:w="0" w:type="dxa"/>
        <w:tblLayout w:type="fixed"/>
        <w:tblCellMar>
          <w:top w:w="15" w:type="dxa"/>
          <w:left w:w="15" w:type="dxa"/>
          <w:bottom w:w="15" w:type="dxa"/>
          <w:right w:w="15" w:type="dxa"/>
        </w:tblCellMar>
      </w:tblPr>
      <w:tblGrid>
        <w:gridCol w:w="1910"/>
        <w:gridCol w:w="577"/>
        <w:gridCol w:w="578"/>
        <w:gridCol w:w="578"/>
        <w:gridCol w:w="578"/>
        <w:gridCol w:w="578"/>
        <w:gridCol w:w="578"/>
        <w:gridCol w:w="578"/>
        <w:gridCol w:w="578"/>
        <w:gridCol w:w="581"/>
        <w:gridCol w:w="578"/>
        <w:gridCol w:w="578"/>
        <w:gridCol w:w="580"/>
      </w:tblGrid>
      <w:tr>
        <w:tblPrEx>
          <w:tblLayout w:type="fixed"/>
          <w:tblCellMar>
            <w:top w:w="15" w:type="dxa"/>
            <w:left w:w="15" w:type="dxa"/>
            <w:bottom w:w="15" w:type="dxa"/>
            <w:right w:w="15" w:type="dxa"/>
          </w:tblCellMar>
        </w:tblPrEx>
        <w:trPr>
          <w:trHeight w:val="286" w:hRule="atLeast"/>
        </w:trPr>
        <w:tc>
          <w:tcPr>
            <w:tcW w:w="1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对应关系</w:t>
            </w:r>
          </w:p>
        </w:tc>
        <w:tc>
          <w:tcPr>
            <w:tcW w:w="23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知识要求</w:t>
            </w:r>
          </w:p>
        </w:tc>
        <w:tc>
          <w:tcPr>
            <w:tcW w:w="28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能力要求 </w:t>
            </w:r>
          </w:p>
        </w:tc>
        <w:tc>
          <w:tcPr>
            <w:tcW w:w="1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素质要求</w:t>
            </w:r>
          </w:p>
        </w:tc>
      </w:tr>
      <w:tr>
        <w:tblPrEx>
          <w:tblLayout w:type="fixed"/>
          <w:tblCellMar>
            <w:top w:w="15" w:type="dxa"/>
            <w:left w:w="15" w:type="dxa"/>
            <w:bottom w:w="15" w:type="dxa"/>
            <w:right w:w="15" w:type="dxa"/>
          </w:tblCellMar>
        </w:tblPrEx>
        <w:trPr>
          <w:trHeight w:val="286" w:hRule="atLeast"/>
        </w:trPr>
        <w:tc>
          <w:tcPr>
            <w:tcW w:w="1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1-1</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1-2</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1-3</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1-4</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2-1</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2-2</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2-3</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2-4</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2-5</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3-1</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3-3</w:t>
            </w:r>
          </w:p>
        </w:tc>
      </w:tr>
      <w:tr>
        <w:tblPrEx>
          <w:tblLayout w:type="fixed"/>
          <w:tblCellMar>
            <w:top w:w="15" w:type="dxa"/>
            <w:left w:w="15" w:type="dxa"/>
            <w:bottom w:w="15" w:type="dxa"/>
            <w:right w:w="15" w:type="dxa"/>
          </w:tblCellMar>
        </w:tblPrEx>
        <w:trPr>
          <w:trHeight w:val="195"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形势与政策</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r>
      <w:tr>
        <w:tblPrEx>
          <w:tblLayout w:type="fixed"/>
          <w:tblCellMar>
            <w:top w:w="15" w:type="dxa"/>
            <w:left w:w="15" w:type="dxa"/>
            <w:bottom w:w="15" w:type="dxa"/>
            <w:right w:w="15" w:type="dxa"/>
          </w:tblCellMar>
        </w:tblPrEx>
        <w:trPr>
          <w:trHeight w:val="312"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思想道德修养与法律基础</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军事训练</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军事理论</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72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毛泽东思想与中国特色社会主义理论体系概论</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中国近现代史纲要</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r>
      <w:tr>
        <w:tblPrEx>
          <w:tblLayout w:type="fixed"/>
          <w:tblCellMar>
            <w:top w:w="15" w:type="dxa"/>
            <w:left w:w="15" w:type="dxa"/>
            <w:bottom w:w="15" w:type="dxa"/>
            <w:right w:w="15" w:type="dxa"/>
          </w:tblCellMar>
        </w:tblPrEx>
        <w:trPr>
          <w:trHeight w:val="29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马克思主义基本原理</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第二外语（英语）I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75"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第二外语（英语）II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32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第二外语（英语）III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45"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第二外语（英语）IV</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高级日语I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高级日语II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日本经济(日语)</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日语经贸阅读</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计算机应用基础</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体育1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体育2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体育3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体育4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创业概论</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创业模拟与实践</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48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课外科研创新实践活动</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就业指导</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32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职业生涯与发展规划</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商务基础日语I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商务基础日语II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商务基础日语III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商务基础日语IV</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商务日语听力I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商务日语听力II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日语语法I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日语语法II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日语报刊阅读</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kern w:val="0"/>
                <w:sz w:val="24"/>
                <w:lang w:bidi="ar"/>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日本商务礼仪</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kern w:val="0"/>
                <w:sz w:val="24"/>
                <w:lang w:bidi="ar"/>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商务日语写作I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商务日语写作II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商务日语写作III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kern w:val="0"/>
                <w:sz w:val="24"/>
                <w:lang w:bidi="ar"/>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日语古典语法</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w:t>
            </w:r>
            <w:r>
              <w:rPr>
                <w:rFonts w:hint="eastAsia" w:ascii="宋体" w:hAnsi="宋体" w:cs="宋体"/>
                <w:color w:val="000000" w:themeColor="text1"/>
                <w:kern w:val="0"/>
                <w:sz w:val="20"/>
                <w:szCs w:val="20"/>
                <w:lang w:eastAsia="zh-CN" w:bidi="ar"/>
                <w14:textFill>
                  <w14:solidFill>
                    <w14:schemeClr w14:val="tx1"/>
                  </w14:solidFill>
                </w14:textFill>
              </w:rPr>
              <w:t>语言学概论</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商务日语听力III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商务日语听力IV</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日汉互译I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日汉互译II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学年论文</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毕业实习</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毕业论文</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毕业论文讲座</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学科前沿讲座</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48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赴日本留学及就业讲座</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日语N2模拟考试</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日语N1模拟考试</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55"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中日关系演变史</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专业调查</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学科专业导论</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日本茶道、花道</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r>
      <w:tr>
        <w:tblPrEx>
          <w:tblLayout w:type="fixed"/>
          <w:tblCellMar>
            <w:top w:w="15" w:type="dxa"/>
            <w:left w:w="15" w:type="dxa"/>
            <w:bottom w:w="15" w:type="dxa"/>
            <w:right w:w="15" w:type="dxa"/>
          </w:tblCellMar>
        </w:tblPrEx>
        <w:trPr>
          <w:trHeight w:val="465"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当下日本政府的对华政策</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465"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themeColor="text1"/>
                <w:kern w:val="0"/>
                <w:sz w:val="20"/>
                <w:szCs w:val="20"/>
                <w:lang w:eastAsia="zh-CN" w:bidi="ar"/>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日本文学概论</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hint="eastAsia" w:ascii="宋体" w:hAnsi="宋体" w:cs="宋体"/>
                <w:color w:val="000000" w:themeColor="text1"/>
                <w:kern w:val="0"/>
                <w:sz w:val="24"/>
                <w:lang w:bidi="ar"/>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hint="eastAsia" w:ascii="MS Mincho" w:hAnsi="MS Mincho" w:eastAsia="MS Mincho" w:cs="MS Mincho"/>
                <w:color w:val="000000" w:themeColor="text1"/>
                <w:kern w:val="0"/>
                <w:sz w:val="24"/>
                <w:lang w:bidi="ar"/>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日本概况</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高级日语视听I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高级日语视听II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商务日语口语I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商务日语口语II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MS Mincho" w:hAnsi="MS Mincho" w:eastAsia="MS Mincho" w:cs="MS Mincho"/>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商务日语口语III</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bottom"/>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商务日语口语IV</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48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日本动画电影的社会学解析</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r>
      <w:tr>
        <w:tblPrEx>
          <w:tblLayout w:type="fixed"/>
          <w:tblCellMar>
            <w:top w:w="15" w:type="dxa"/>
            <w:left w:w="15" w:type="dxa"/>
            <w:bottom w:w="15" w:type="dxa"/>
            <w:right w:w="15" w:type="dxa"/>
          </w:tblCellMar>
        </w:tblPrEx>
        <w:trPr>
          <w:trHeight w:val="48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日本社会政策文献选读</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日语簿记</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kern w:val="0"/>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管理学基础</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kern w:val="0"/>
                <w:sz w:val="24"/>
                <w:lang w:bidi="ar"/>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日语经贸口译</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MS Mincho" w:hAnsi="MS Mincho" w:eastAsia="MS Mincho" w:cs="MS Mincho"/>
                <w:color w:val="000000" w:themeColor="text1"/>
                <w:sz w:val="24"/>
                <w14:textFill>
                  <w14:solidFill>
                    <w14:schemeClr w14:val="tx1"/>
                  </w14:solidFill>
                </w14:textFill>
              </w:rPr>
            </w:pPr>
            <w:r>
              <w:rPr>
                <w:rFonts w:hint="eastAsia" w:ascii="MS Mincho" w:hAnsi="MS Mincho" w:eastAsia="MS Mincho" w:cs="MS Mincho"/>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r>
        <w:tblPrEx>
          <w:tblLayout w:type="fixed"/>
          <w:tblCellMar>
            <w:top w:w="15" w:type="dxa"/>
            <w:left w:w="15" w:type="dxa"/>
            <w:bottom w:w="15" w:type="dxa"/>
            <w:right w:w="15" w:type="dxa"/>
          </w:tblCellMar>
        </w:tblPrEx>
        <w:trPr>
          <w:trHeight w:val="286" w:hRule="atLeast"/>
        </w:trPr>
        <w:tc>
          <w:tcPr>
            <w:tcW w:w="1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themeColor="text1"/>
                <w:kern w:val="0"/>
                <w:sz w:val="20"/>
                <w:szCs w:val="20"/>
                <w:lang w:eastAsia="zh-CN" w:bidi="ar"/>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商务谈判</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hint="eastAsia" w:ascii="MS Mincho" w:hAnsi="MS Mincho" w:eastAsia="MS Mincho" w:cs="MS Mincho"/>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宋体" w:hAnsi="宋体" w:cs="宋体"/>
                <w:color w:val="000000" w:themeColor="text1"/>
                <w:sz w:val="24"/>
                <w14:textFill>
                  <w14:solidFill>
                    <w14:schemeClr w14:val="tx1"/>
                  </w14:solidFill>
                </w14:textFill>
              </w:rPr>
            </w:pPr>
          </w:p>
        </w:tc>
      </w:tr>
    </w:tbl>
    <w:p>
      <w:pPr>
        <w:pStyle w:val="3"/>
        <w:spacing w:before="312" w:after="312"/>
        <w:rPr>
          <w:rFonts w:ascii="Times New Roman" w:eastAsia="宋体"/>
          <w:color w:val="000000" w:themeColor="text1"/>
          <w14:textFill>
            <w14:solidFill>
              <w14:schemeClr w14:val="tx1"/>
            </w14:solidFill>
          </w14:textFill>
        </w:rPr>
      </w:pPr>
    </w:p>
    <w:p>
      <w:pPr>
        <w:pStyle w:val="3"/>
        <w:spacing w:before="312" w:after="312"/>
        <w:rPr>
          <w:rFonts w:ascii="Times New Roman" w:hAns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十、实践教学环节</w:t>
      </w:r>
    </w:p>
    <w:p>
      <w:pPr>
        <w:pStyle w:val="6"/>
        <w:spacing w:line="52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1、专业基础实验：</w:t>
      </w:r>
      <w:r>
        <w:rPr>
          <w:rFonts w:hint="eastAsia" w:asciiTheme="minorEastAsia" w:hAnsiTheme="minorEastAsia" w:eastAsiaTheme="minorEastAsia" w:cstheme="minorEastAsia"/>
          <w:color w:val="000000" w:themeColor="text1"/>
          <w:sz w:val="28"/>
          <w:szCs w:val="28"/>
          <w14:textFill>
            <w14:solidFill>
              <w14:schemeClr w14:val="tx1"/>
            </w14:solidFill>
          </w14:textFill>
        </w:rPr>
        <w:t>商务日语听力I-IV、高级视听I-II、</w:t>
      </w:r>
      <w:r>
        <w:rPr>
          <w:rFonts w:hint="eastAsia" w:asciiTheme="minorEastAsia" w:hAnsiTheme="minorEastAsia" w:cstheme="minorEastAsia"/>
          <w:color w:val="000000" w:themeColor="text1"/>
          <w:sz w:val="28"/>
          <w:szCs w:val="28"/>
          <w:lang w:eastAsia="zh-CN"/>
          <w14:textFill>
            <w14:solidFill>
              <w14:schemeClr w14:val="tx1"/>
            </w14:solidFill>
          </w14:textFill>
        </w:rPr>
        <w:t>日语口语</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CN"/>
          <w14:textFill>
            <w14:solidFill>
              <w14:schemeClr w14:val="tx1"/>
            </w14:solidFill>
          </w14:textFill>
        </w:rPr>
        <w:t>日语经贸口译</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52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2、专业实训：</w:t>
      </w:r>
      <w:r>
        <w:rPr>
          <w:rFonts w:hint="eastAsia" w:asciiTheme="minorEastAsia" w:hAnsiTheme="minorEastAsia" w:eastAsiaTheme="minorEastAsia" w:cstheme="minorEastAsia"/>
          <w:color w:val="000000" w:themeColor="text1"/>
          <w:sz w:val="28"/>
          <w:szCs w:val="28"/>
          <w14:textFill>
            <w14:solidFill>
              <w14:schemeClr w14:val="tx1"/>
            </w14:solidFill>
          </w14:textFill>
        </w:rPr>
        <w:t>在每学年的特色化培养阶段开设专业实训，主要开设了日语能力等级考试特训、日本花道茶道讲座等课程。</w:t>
      </w:r>
    </w:p>
    <w:p>
      <w:pPr>
        <w:pStyle w:val="6"/>
        <w:spacing w:line="52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3、毕业论文：</w:t>
      </w:r>
      <w:r>
        <w:rPr>
          <w:rFonts w:hint="eastAsia" w:asciiTheme="minorEastAsia" w:hAnsiTheme="minorEastAsia" w:eastAsiaTheme="minorEastAsia" w:cstheme="minorEastAsia"/>
          <w:color w:val="000000" w:themeColor="text1"/>
          <w:sz w:val="28"/>
          <w:szCs w:val="28"/>
          <w14:textFill>
            <w14:solidFill>
              <w14:schemeClr w14:val="tx1"/>
            </w14:solidFill>
          </w14:textFill>
        </w:rPr>
        <w:t>毕业论文启动工作在第七学期，具体运行安排在第八学期中，为期8周，6学分。</w:t>
      </w:r>
    </w:p>
    <w:p>
      <w:pPr>
        <w:pStyle w:val="6"/>
        <w:spacing w:line="52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4、毕业实习：</w:t>
      </w:r>
      <w:r>
        <w:rPr>
          <w:rFonts w:hint="eastAsia" w:asciiTheme="minorEastAsia" w:hAnsiTheme="minorEastAsia" w:eastAsiaTheme="minorEastAsia" w:cstheme="minorEastAsia"/>
          <w:color w:val="000000" w:themeColor="text1"/>
          <w:sz w:val="28"/>
          <w:szCs w:val="28"/>
          <w14:textFill>
            <w14:solidFill>
              <w14:schemeClr w14:val="tx1"/>
            </w14:solidFill>
          </w14:textFill>
        </w:rPr>
        <w:t>为提高学生的日语语言实际运用能力，我们在教学计划中，安排了学生的毕业实习，目的是要学生亲自到翻译现场中去体验，通过实习提高学生的日语的听、说、读、写、译的技能及日语语言实际运用能力，为学生毕业走向社会奠定一个良好的基础。</w:t>
      </w:r>
    </w:p>
    <w:p>
      <w:pPr>
        <w:pStyle w:val="6"/>
        <w:spacing w:line="52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5、军事训练：</w:t>
      </w:r>
      <w:r>
        <w:rPr>
          <w:rFonts w:hint="eastAsia" w:asciiTheme="minorEastAsia" w:hAnsiTheme="minorEastAsia" w:eastAsiaTheme="minorEastAsia" w:cstheme="minorEastAsia"/>
          <w:color w:val="000000" w:themeColor="text1"/>
          <w:sz w:val="28"/>
          <w:szCs w:val="28"/>
          <w14:textFill>
            <w14:solidFill>
              <w14:schemeClr w14:val="tx1"/>
            </w14:solidFill>
          </w14:textFill>
        </w:rPr>
        <w:t>为了锻炼学生坚强的意志，教学计划中安排了军事训练。</w:t>
      </w:r>
    </w:p>
    <w:p>
      <w:pPr>
        <w:pStyle w:val="6"/>
        <w:spacing w:after="0" w:line="52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6、专业调查与学年论文：</w:t>
      </w:r>
      <w:r>
        <w:rPr>
          <w:rFonts w:hint="eastAsia" w:asciiTheme="minorEastAsia" w:hAnsiTheme="minorEastAsia" w:eastAsiaTheme="minorEastAsia" w:cstheme="minorEastAsia"/>
          <w:color w:val="000000" w:themeColor="text1"/>
          <w:sz w:val="28"/>
          <w:szCs w:val="28"/>
          <w14:textFill>
            <w14:solidFill>
              <w14:schemeClr w14:val="tx1"/>
            </w14:solidFill>
          </w14:textFill>
        </w:rPr>
        <w:t>为了让学生接触社会，了解社会，在教学计划中安排了0.5学分的专业调查。为指导与督促学生进行专业调查，在第二阶段教学中设置了相关专业调查讲座，学生需在讲座和实践的基础上提交调查报告。此外，学生在四年期间前三年每年要完成１篇论文，共3篇，1个学分。</w:t>
      </w:r>
    </w:p>
    <w:p>
      <w:pPr>
        <w:spacing w:line="520" w:lineRule="exact"/>
        <w:ind w:firstLine="562" w:firstLineChars="200"/>
        <w:rPr>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7、课外科研创新实践活动：</w:t>
      </w:r>
      <w:r>
        <w:rPr>
          <w:rFonts w:hint="eastAsia" w:asciiTheme="minorEastAsia" w:hAnsiTheme="minorEastAsia" w:eastAsiaTheme="minorEastAsia" w:cstheme="minorEastAsia"/>
          <w:color w:val="000000" w:themeColor="text1"/>
          <w:sz w:val="28"/>
          <w:szCs w:val="28"/>
          <w14:textFill>
            <w14:solidFill>
              <w14:schemeClr w14:val="tx1"/>
            </w14:solidFill>
          </w14:textFill>
        </w:rPr>
        <w:t>由教务处统一组织，相关职能部门协同实施。其中，2个学分必须通过参加科研处、教务处及各个学院组织的学术讲座获取。学生参加科研项目训练、创业活动、发明创造、校园文化活动等；在核心期刊上发表论文；获得省部级以上重要奖项；获取专业等级证书、应用型技能证书等；由学院相应认定课外科研创新实践活动学分。</w:t>
      </w:r>
    </w:p>
    <w:p>
      <w:pPr>
        <w:pStyle w:val="3"/>
        <w:spacing w:before="312" w:after="312"/>
        <w:rPr>
          <w:rFonts w:ascii="Times New Roman" w:hAnsi="Times New Roman" w:eastAsia="宋体"/>
          <w:color w:val="000000" w:themeColor="text1"/>
          <w14:textFill>
            <w14:solidFill>
              <w14:schemeClr w14:val="tx1"/>
            </w14:solidFill>
          </w14:textFill>
        </w:rPr>
      </w:pPr>
      <w:bookmarkStart w:id="6" w:name="_Toc455260317"/>
      <w:r>
        <w:rPr>
          <w:rFonts w:hint="eastAsia" w:ascii="Times New Roman" w:eastAsia="宋体"/>
          <w:color w:val="000000" w:themeColor="text1"/>
          <w14:textFill>
            <w14:solidFill>
              <w14:schemeClr w14:val="tx1"/>
            </w14:solidFill>
          </w14:textFill>
        </w:rPr>
        <w:t>十一、其他说明</w:t>
      </w:r>
      <w:bookmarkEnd w:id="6"/>
    </w:p>
    <w:p>
      <w:pPr>
        <w:spacing w:line="520" w:lineRule="exact"/>
        <w:ind w:firstLine="560" w:firstLineChars="200"/>
        <w:rPr>
          <w:rFonts w:ascii="??_GB2312" w:hAnsi="宋体"/>
          <w:color w:val="000000" w:themeColor="text1"/>
          <w:sz w:val="28"/>
          <w:szCs w:val="28"/>
          <w14:textFill>
            <w14:solidFill>
              <w14:schemeClr w14:val="tx1"/>
            </w14:solidFill>
          </w14:textFill>
        </w:rPr>
      </w:pPr>
      <w:r>
        <w:rPr>
          <w:rFonts w:hint="eastAsia" w:ascii="??_GB2312" w:hAnsi="宋体"/>
          <w:color w:val="000000" w:themeColor="text1"/>
          <w:sz w:val="28"/>
          <w:szCs w:val="28"/>
          <w14:textFill>
            <w14:solidFill>
              <w14:schemeClr w14:val="tx1"/>
            </w14:solidFill>
          </w14:textFill>
        </w:rPr>
        <w:t>本专业是日语（商务方向），专业课程主要包括三个模块：即商务基础知识模块，主要修习商务基础日语、商务日语口语、商务日语听力、商务日语写作等基础课程；商务应用能力模块，主要有日语经贸阅读、日本经济、日语经贸口译、管理学基础、</w:t>
      </w:r>
      <w:r>
        <w:rPr>
          <w:rFonts w:hint="eastAsia" w:ascii="??_GB2312" w:hAnsi="宋体"/>
          <w:color w:val="000000" w:themeColor="text1"/>
          <w:sz w:val="28"/>
          <w:szCs w:val="28"/>
          <w:lang w:eastAsia="zh-CN"/>
          <w14:textFill>
            <w14:solidFill>
              <w14:schemeClr w14:val="tx1"/>
            </w14:solidFill>
          </w14:textFill>
        </w:rPr>
        <w:t>商务谈判</w:t>
      </w:r>
      <w:r>
        <w:rPr>
          <w:rFonts w:hint="eastAsia" w:ascii="??_GB2312" w:hAnsi="宋体"/>
          <w:color w:val="000000" w:themeColor="text1"/>
          <w:sz w:val="28"/>
          <w:szCs w:val="28"/>
          <w14:textFill>
            <w14:solidFill>
              <w14:schemeClr w14:val="tx1"/>
            </w14:solidFill>
          </w14:textFill>
        </w:rPr>
        <w:t>、商务礼仪、</w:t>
      </w:r>
      <w:r>
        <w:rPr>
          <w:rFonts w:hint="eastAsia" w:ascii="??_GB2312" w:hAnsi="宋体"/>
          <w:color w:val="000000" w:themeColor="text1"/>
          <w:sz w:val="28"/>
          <w:szCs w:val="28"/>
          <w:lang w:eastAsia="zh-CN"/>
          <w14:textFill>
            <w14:solidFill>
              <w14:schemeClr w14:val="tx1"/>
            </w14:solidFill>
          </w14:textFill>
        </w:rPr>
        <w:t>日语</w:t>
      </w:r>
      <w:r>
        <w:rPr>
          <w:rFonts w:hint="eastAsia" w:ascii="??_GB2312" w:hAnsi="宋体"/>
          <w:color w:val="000000" w:themeColor="text1"/>
          <w:sz w:val="28"/>
          <w:szCs w:val="28"/>
          <w14:textFill>
            <w14:solidFill>
              <w14:schemeClr w14:val="tx1"/>
            </w14:solidFill>
          </w14:textFill>
        </w:rPr>
        <w:t>簿记等相关课程；人文素养模块：日本概况、高级日语、</w:t>
      </w:r>
      <w:r>
        <w:rPr>
          <w:rFonts w:hint="eastAsia" w:ascii="??_GB2312" w:hAnsi="宋体"/>
          <w:color w:val="000000" w:themeColor="text1"/>
          <w:sz w:val="28"/>
          <w:szCs w:val="28"/>
          <w:lang w:eastAsia="zh-CN"/>
          <w14:textFill>
            <w14:solidFill>
              <w14:schemeClr w14:val="tx1"/>
            </w14:solidFill>
          </w14:textFill>
        </w:rPr>
        <w:t>日语语言学概论</w:t>
      </w:r>
      <w:r>
        <w:rPr>
          <w:rFonts w:hint="eastAsia" w:ascii="??_GB2312" w:hAnsi="宋体"/>
          <w:color w:val="000000" w:themeColor="text1"/>
          <w:sz w:val="28"/>
          <w:szCs w:val="28"/>
          <w14:textFill>
            <w14:solidFill>
              <w14:schemeClr w14:val="tx1"/>
            </w14:solidFill>
          </w14:textFill>
        </w:rPr>
        <w:t>、日本文学</w:t>
      </w:r>
      <w:r>
        <w:rPr>
          <w:rFonts w:hint="eastAsia" w:ascii="??_GB2312" w:hAnsi="宋体"/>
          <w:color w:val="000000" w:themeColor="text1"/>
          <w:sz w:val="28"/>
          <w:szCs w:val="28"/>
          <w:lang w:eastAsia="zh-CN"/>
          <w14:textFill>
            <w14:solidFill>
              <w14:schemeClr w14:val="tx1"/>
            </w14:solidFill>
          </w14:textFill>
        </w:rPr>
        <w:t>概论</w:t>
      </w:r>
      <w:r>
        <w:rPr>
          <w:rFonts w:hint="eastAsia" w:ascii="??_GB2312" w:hAnsi="宋体"/>
          <w:color w:val="000000" w:themeColor="text1"/>
          <w:sz w:val="28"/>
          <w:szCs w:val="28"/>
          <w14:textFill>
            <w14:solidFill>
              <w14:schemeClr w14:val="tx1"/>
            </w14:solidFill>
          </w14:textFill>
        </w:rPr>
        <w:t>等相关课程。</w:t>
      </w:r>
    </w:p>
    <w:p>
      <w:pPr>
        <w:spacing w:line="520" w:lineRule="exact"/>
        <w:ind w:firstLine="560" w:firstLineChars="200"/>
        <w:rPr>
          <w:rFonts w:ascii="??_GB2312" w:hAnsi="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CFDD"/>
    <w:multiLevelType w:val="singleLevel"/>
    <w:tmpl w:val="13E2CFDD"/>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F07F1"/>
    <w:rsid w:val="00237009"/>
    <w:rsid w:val="00275560"/>
    <w:rsid w:val="00275E7C"/>
    <w:rsid w:val="003024B5"/>
    <w:rsid w:val="00312563"/>
    <w:rsid w:val="00377266"/>
    <w:rsid w:val="003935B3"/>
    <w:rsid w:val="003E17A0"/>
    <w:rsid w:val="004F1B65"/>
    <w:rsid w:val="00537AEE"/>
    <w:rsid w:val="005A508F"/>
    <w:rsid w:val="005E13E2"/>
    <w:rsid w:val="005F43E4"/>
    <w:rsid w:val="006441F7"/>
    <w:rsid w:val="00670D05"/>
    <w:rsid w:val="00681D3B"/>
    <w:rsid w:val="006F6B2D"/>
    <w:rsid w:val="007A2F1A"/>
    <w:rsid w:val="008746C8"/>
    <w:rsid w:val="008B02DC"/>
    <w:rsid w:val="00907EEC"/>
    <w:rsid w:val="0091610E"/>
    <w:rsid w:val="009C593D"/>
    <w:rsid w:val="00A63802"/>
    <w:rsid w:val="00A7700F"/>
    <w:rsid w:val="00B14FAC"/>
    <w:rsid w:val="00B16A3E"/>
    <w:rsid w:val="00B45F66"/>
    <w:rsid w:val="00BF310C"/>
    <w:rsid w:val="00C80AB6"/>
    <w:rsid w:val="00E211BB"/>
    <w:rsid w:val="00E92670"/>
    <w:rsid w:val="00F7345D"/>
    <w:rsid w:val="00FE1214"/>
    <w:rsid w:val="01343B33"/>
    <w:rsid w:val="01A12DA4"/>
    <w:rsid w:val="067249B8"/>
    <w:rsid w:val="06F772AA"/>
    <w:rsid w:val="08053A4C"/>
    <w:rsid w:val="08E3124E"/>
    <w:rsid w:val="09FB5375"/>
    <w:rsid w:val="0CEB10A8"/>
    <w:rsid w:val="0DC84717"/>
    <w:rsid w:val="0F5B61B3"/>
    <w:rsid w:val="102B01BB"/>
    <w:rsid w:val="12E971B5"/>
    <w:rsid w:val="15B27621"/>
    <w:rsid w:val="176F5D2B"/>
    <w:rsid w:val="17A974FF"/>
    <w:rsid w:val="182C10EE"/>
    <w:rsid w:val="1B58103F"/>
    <w:rsid w:val="1B9D27FE"/>
    <w:rsid w:val="1CF2047E"/>
    <w:rsid w:val="201D70F7"/>
    <w:rsid w:val="207B4FED"/>
    <w:rsid w:val="20C057DF"/>
    <w:rsid w:val="216F79CD"/>
    <w:rsid w:val="217A35F8"/>
    <w:rsid w:val="217D1CE3"/>
    <w:rsid w:val="21F5722F"/>
    <w:rsid w:val="226152FE"/>
    <w:rsid w:val="22923E3D"/>
    <w:rsid w:val="24C32700"/>
    <w:rsid w:val="24EC5520"/>
    <w:rsid w:val="27400C61"/>
    <w:rsid w:val="27A345D1"/>
    <w:rsid w:val="286D40DC"/>
    <w:rsid w:val="28980860"/>
    <w:rsid w:val="2BF71AEE"/>
    <w:rsid w:val="2CD4780E"/>
    <w:rsid w:val="2D755A33"/>
    <w:rsid w:val="2E87336E"/>
    <w:rsid w:val="311B4044"/>
    <w:rsid w:val="34272DAF"/>
    <w:rsid w:val="35BC254A"/>
    <w:rsid w:val="38C34CFE"/>
    <w:rsid w:val="40495AA9"/>
    <w:rsid w:val="40606028"/>
    <w:rsid w:val="409F7929"/>
    <w:rsid w:val="41CF66DA"/>
    <w:rsid w:val="45D70F62"/>
    <w:rsid w:val="491B5A70"/>
    <w:rsid w:val="49846EB2"/>
    <w:rsid w:val="4A274145"/>
    <w:rsid w:val="4D0A007C"/>
    <w:rsid w:val="4D2A7407"/>
    <w:rsid w:val="4E79683C"/>
    <w:rsid w:val="566A71E5"/>
    <w:rsid w:val="56DD3F58"/>
    <w:rsid w:val="574B3867"/>
    <w:rsid w:val="584F07F1"/>
    <w:rsid w:val="588B470E"/>
    <w:rsid w:val="5BFC35F7"/>
    <w:rsid w:val="5ED75BB7"/>
    <w:rsid w:val="609A3F37"/>
    <w:rsid w:val="614B7D06"/>
    <w:rsid w:val="616B44E4"/>
    <w:rsid w:val="628D10B1"/>
    <w:rsid w:val="641D727E"/>
    <w:rsid w:val="64BF26BE"/>
    <w:rsid w:val="64C61DBC"/>
    <w:rsid w:val="656E7EC5"/>
    <w:rsid w:val="65A266B3"/>
    <w:rsid w:val="67833F0F"/>
    <w:rsid w:val="68E304D4"/>
    <w:rsid w:val="69CD1C40"/>
    <w:rsid w:val="6BF7284F"/>
    <w:rsid w:val="6BFB0648"/>
    <w:rsid w:val="6CA03F61"/>
    <w:rsid w:val="6CED1214"/>
    <w:rsid w:val="6CF20A1B"/>
    <w:rsid w:val="6F9E2798"/>
    <w:rsid w:val="70140B63"/>
    <w:rsid w:val="72F25257"/>
    <w:rsid w:val="739E25B8"/>
    <w:rsid w:val="74231A4C"/>
    <w:rsid w:val="74F77669"/>
    <w:rsid w:val="76FC2C80"/>
    <w:rsid w:val="78684F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iPriority="99" w:name="annotation text" w:locked="1"/>
    <w:lsdException w:qFormat="1" w:uiPriority="99" w:semiHidden="0" w:name="header" w:locked="1"/>
    <w:lsdException w:qFormat="1"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spacing w:beforeAutospacing="1" w:afterAutospacing="1"/>
      <w:jc w:val="left"/>
      <w:outlineLvl w:val="0"/>
    </w:pPr>
    <w:rPr>
      <w:rFonts w:ascii="宋体" w:hAnsi="宋体"/>
      <w:b/>
      <w:kern w:val="44"/>
      <w:sz w:val="48"/>
      <w:szCs w:val="48"/>
    </w:rPr>
  </w:style>
  <w:style w:type="paragraph" w:styleId="3">
    <w:name w:val="heading 2"/>
    <w:basedOn w:val="1"/>
    <w:next w:val="1"/>
    <w:link w:val="16"/>
    <w:qFormat/>
    <w:uiPriority w:val="99"/>
    <w:pPr>
      <w:keepNext/>
      <w:keepLines/>
      <w:spacing w:beforeLines="100" w:afterLines="100" w:line="415" w:lineRule="auto"/>
      <w:outlineLvl w:val="1"/>
    </w:pPr>
    <w:rPr>
      <w:rFonts w:ascii="Calibri Light" w:hAnsi="Calibri Light" w:eastAsia="黑体"/>
      <w:b/>
      <w:bCs/>
      <w:sz w:val="32"/>
      <w:szCs w:val="32"/>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semiHidden/>
    <w:unhideWhenUsed/>
    <w:qFormat/>
    <w:locked/>
    <w:uiPriority w:val="99"/>
    <w:rPr>
      <w:b/>
      <w:bCs/>
    </w:rPr>
  </w:style>
  <w:style w:type="paragraph" w:styleId="5">
    <w:name w:val="annotation text"/>
    <w:basedOn w:val="1"/>
    <w:link w:val="22"/>
    <w:semiHidden/>
    <w:unhideWhenUsed/>
    <w:qFormat/>
    <w:locked/>
    <w:uiPriority w:val="99"/>
    <w:pPr>
      <w:spacing w:line="240" w:lineRule="auto"/>
    </w:pPr>
    <w:rPr>
      <w:sz w:val="20"/>
      <w:szCs w:val="20"/>
    </w:rPr>
  </w:style>
  <w:style w:type="paragraph" w:styleId="6">
    <w:name w:val="Body Text"/>
    <w:basedOn w:val="1"/>
    <w:link w:val="17"/>
    <w:qFormat/>
    <w:uiPriority w:val="99"/>
    <w:pPr>
      <w:spacing w:after="120"/>
    </w:pPr>
    <w:rPr>
      <w:rFonts w:ascii="Calibri" w:hAnsi="Calibri"/>
      <w:szCs w:val="22"/>
    </w:rPr>
  </w:style>
  <w:style w:type="paragraph" w:styleId="7">
    <w:name w:val="Balloon Text"/>
    <w:basedOn w:val="1"/>
    <w:link w:val="24"/>
    <w:semiHidden/>
    <w:unhideWhenUsed/>
    <w:qFormat/>
    <w:locked/>
    <w:uiPriority w:val="99"/>
    <w:pPr>
      <w:spacing w:after="0" w:line="240" w:lineRule="auto"/>
    </w:pPr>
    <w:rPr>
      <w:rFonts w:ascii="Microsoft YaHei UI" w:eastAsia="Microsoft YaHei UI"/>
      <w:sz w:val="18"/>
      <w:szCs w:val="18"/>
    </w:rPr>
  </w:style>
  <w:style w:type="paragraph" w:styleId="8">
    <w:name w:val="footer"/>
    <w:basedOn w:val="1"/>
    <w:link w:val="26"/>
    <w:unhideWhenUsed/>
    <w:qFormat/>
    <w:locked/>
    <w:uiPriority w:val="99"/>
    <w:pPr>
      <w:tabs>
        <w:tab w:val="center" w:pos="4153"/>
        <w:tab w:val="right" w:pos="8306"/>
      </w:tabs>
      <w:snapToGrid w:val="0"/>
      <w:spacing w:line="240" w:lineRule="auto"/>
      <w:jc w:val="left"/>
    </w:pPr>
    <w:rPr>
      <w:sz w:val="18"/>
      <w:szCs w:val="18"/>
    </w:rPr>
  </w:style>
  <w:style w:type="paragraph" w:styleId="9">
    <w:name w:val="header"/>
    <w:basedOn w:val="1"/>
    <w:link w:val="25"/>
    <w:unhideWhenUsed/>
    <w:qFormat/>
    <w:lock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semiHidden/>
    <w:qFormat/>
    <w:uiPriority w:val="99"/>
    <w:pPr>
      <w:spacing w:beforeAutospacing="1" w:afterAutospacing="1" w:line="15" w:lineRule="atLeast"/>
      <w:jc w:val="left"/>
    </w:pPr>
    <w:rPr>
      <w:rFonts w:ascii="Tahoma" w:hAnsi="Tahoma"/>
      <w:color w:val="CD0200"/>
      <w:kern w:val="0"/>
      <w:sz w:val="18"/>
      <w:szCs w:val="18"/>
    </w:rPr>
  </w:style>
  <w:style w:type="character" w:styleId="12">
    <w:name w:val="annotation reference"/>
    <w:basedOn w:val="11"/>
    <w:semiHidden/>
    <w:unhideWhenUsed/>
    <w:qFormat/>
    <w:locked/>
    <w:uiPriority w:val="99"/>
    <w:rPr>
      <w:sz w:val="16"/>
      <w:szCs w:val="16"/>
    </w:rPr>
  </w:style>
  <w:style w:type="table" w:styleId="14">
    <w:name w:val="Table Grid"/>
    <w:basedOn w:val="1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标题 1 Char"/>
    <w:basedOn w:val="11"/>
    <w:link w:val="2"/>
    <w:qFormat/>
    <w:locked/>
    <w:uiPriority w:val="99"/>
    <w:rPr>
      <w:rFonts w:cs="Times New Roman"/>
      <w:b/>
      <w:bCs/>
      <w:kern w:val="44"/>
      <w:sz w:val="44"/>
      <w:szCs w:val="44"/>
    </w:rPr>
  </w:style>
  <w:style w:type="character" w:customStyle="1" w:styleId="16">
    <w:name w:val="标题 2 Char"/>
    <w:basedOn w:val="11"/>
    <w:link w:val="3"/>
    <w:semiHidden/>
    <w:qFormat/>
    <w:locked/>
    <w:uiPriority w:val="99"/>
    <w:rPr>
      <w:rFonts w:ascii="Cambria" w:hAnsi="Cambria" w:eastAsia="宋体" w:cs="Times New Roman"/>
      <w:b/>
      <w:bCs/>
      <w:sz w:val="32"/>
      <w:szCs w:val="32"/>
    </w:rPr>
  </w:style>
  <w:style w:type="character" w:customStyle="1" w:styleId="17">
    <w:name w:val="正文文本 Char"/>
    <w:basedOn w:val="11"/>
    <w:link w:val="6"/>
    <w:semiHidden/>
    <w:qFormat/>
    <w:locked/>
    <w:uiPriority w:val="99"/>
    <w:rPr>
      <w:rFonts w:cs="Times New Roman"/>
      <w:sz w:val="24"/>
      <w:szCs w:val="24"/>
    </w:rPr>
  </w:style>
  <w:style w:type="character" w:customStyle="1" w:styleId="18">
    <w:name w:val="font31"/>
    <w:basedOn w:val="11"/>
    <w:qFormat/>
    <w:uiPriority w:val="99"/>
    <w:rPr>
      <w:rFonts w:ascii="宋体" w:hAnsi="宋体" w:eastAsia="宋体" w:cs="宋体"/>
      <w:color w:val="000000"/>
      <w:sz w:val="20"/>
      <w:szCs w:val="20"/>
      <w:u w:val="none"/>
    </w:rPr>
  </w:style>
  <w:style w:type="character" w:customStyle="1" w:styleId="19">
    <w:name w:val="font01"/>
    <w:basedOn w:val="11"/>
    <w:qFormat/>
    <w:uiPriority w:val="99"/>
    <w:rPr>
      <w:rFonts w:ascii="宋体" w:hAnsi="宋体" w:eastAsia="宋体" w:cs="宋体"/>
      <w:color w:val="FF0000"/>
      <w:sz w:val="24"/>
      <w:szCs w:val="24"/>
      <w:u w:val="none"/>
    </w:rPr>
  </w:style>
  <w:style w:type="paragraph" w:customStyle="1" w:styleId="20">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p15"/>
    <w:basedOn w:val="1"/>
    <w:qFormat/>
    <w:uiPriority w:val="99"/>
    <w:pPr>
      <w:widowControl/>
      <w:spacing w:before="100" w:beforeAutospacing="1" w:after="100" w:afterAutospacing="1"/>
      <w:jc w:val="left"/>
    </w:pPr>
    <w:rPr>
      <w:rFonts w:ascii="宋体" w:hAnsi="宋体" w:cs="宋体"/>
      <w:kern w:val="0"/>
      <w:sz w:val="24"/>
    </w:rPr>
  </w:style>
  <w:style w:type="character" w:customStyle="1" w:styleId="22">
    <w:name w:val="批注文字 Char"/>
    <w:basedOn w:val="11"/>
    <w:link w:val="5"/>
    <w:semiHidden/>
    <w:qFormat/>
    <w:uiPriority w:val="99"/>
    <w:rPr>
      <w:kern w:val="2"/>
    </w:rPr>
  </w:style>
  <w:style w:type="character" w:customStyle="1" w:styleId="23">
    <w:name w:val="批注主题 Char"/>
    <w:basedOn w:val="22"/>
    <w:link w:val="4"/>
    <w:semiHidden/>
    <w:qFormat/>
    <w:uiPriority w:val="99"/>
    <w:rPr>
      <w:b/>
      <w:bCs/>
      <w:kern w:val="2"/>
    </w:rPr>
  </w:style>
  <w:style w:type="character" w:customStyle="1" w:styleId="24">
    <w:name w:val="批注框文本 Char"/>
    <w:basedOn w:val="11"/>
    <w:link w:val="7"/>
    <w:semiHidden/>
    <w:qFormat/>
    <w:uiPriority w:val="99"/>
    <w:rPr>
      <w:rFonts w:ascii="Microsoft YaHei UI" w:eastAsia="Microsoft YaHei UI"/>
      <w:kern w:val="2"/>
      <w:sz w:val="18"/>
      <w:szCs w:val="18"/>
    </w:rPr>
  </w:style>
  <w:style w:type="character" w:customStyle="1" w:styleId="25">
    <w:name w:val="页眉 Char"/>
    <w:basedOn w:val="11"/>
    <w:link w:val="9"/>
    <w:qFormat/>
    <w:uiPriority w:val="99"/>
    <w:rPr>
      <w:kern w:val="2"/>
      <w:sz w:val="18"/>
      <w:szCs w:val="18"/>
    </w:rPr>
  </w:style>
  <w:style w:type="character" w:customStyle="1" w:styleId="26">
    <w:name w:val="页脚 Char"/>
    <w:basedOn w:val="11"/>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671</Words>
  <Characters>3825</Characters>
  <Lines>31</Lines>
  <Paragraphs>8</Paragraphs>
  <TotalTime>1</TotalTime>
  <ScaleCrop>false</ScaleCrop>
  <LinksUpToDate>false</LinksUpToDate>
  <CharactersWithSpaces>4488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2018-06-29T05:25:00Z</dcterms:created>
  <dc:creator>lenovo</dc:creator>
  <cp:lastModifiedBy>桃苹</cp:lastModifiedBy>
  <cp:lastPrinted>2016-07-24T07:43:00Z</cp:lastPrinted>
  <dcterms:modified xsi:type="dcterms:W3CDTF">2018-11-20T10:00:57Z</dcterms:modified>
  <dc:title>2018年日语专业人才培养方案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y fmtid="{D5CDD505-2E9C-101B-9397-08002B2CF9AE}" pid="3" name="KSORubyTemplateID" linkTarget="0">
    <vt:lpwstr>6</vt:lpwstr>
  </property>
</Properties>
</file>